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CB3C">
      <w:pPr>
        <w:pStyle w:val="25"/>
        <w:jc w:val="right"/>
        <w:rPr>
          <w:rFonts w:hint="eastAsia" w:ascii="仿宋" w:hAnsi="仿宋" w:eastAsia="仿宋" w:cs="仿宋"/>
          <w:color w:val="auto"/>
          <w:sz w:val="52"/>
          <w:szCs w:val="52"/>
        </w:rPr>
      </w:pPr>
      <w:r>
        <w:rPr>
          <w:rFonts w:hint="eastAsia" w:ascii="仿宋" w:hAnsi="仿宋" w:eastAsia="仿宋" w:cs="仿宋"/>
          <w:b/>
          <w:bCs/>
          <w:color w:val="auto"/>
          <w:sz w:val="52"/>
          <w:szCs w:val="52"/>
        </w:rPr>
        <w:t xml:space="preserve"> </w:t>
      </w:r>
      <w:r>
        <w:rPr>
          <w:rFonts w:hint="eastAsia" w:ascii="仿宋" w:hAnsi="仿宋" w:eastAsia="仿宋" w:cs="仿宋"/>
          <w:color w:val="auto"/>
          <w:sz w:val="52"/>
          <w:szCs w:val="52"/>
        </w:rPr>
        <w:t xml:space="preserve">                                     </w:t>
      </w:r>
      <w:r>
        <w:rPr>
          <w:rFonts w:hint="eastAsia" w:ascii="仿宋" w:hAnsi="仿宋" w:eastAsia="仿宋" w:cs="仿宋"/>
          <w:b/>
          <w:bCs/>
          <w:color w:val="auto"/>
          <w:sz w:val="52"/>
          <w:szCs w:val="52"/>
        </w:rPr>
        <w:t xml:space="preserve"> </w:t>
      </w:r>
    </w:p>
    <w:p w14:paraId="6384D61C">
      <w:pPr>
        <w:pStyle w:val="25"/>
        <w:ind w:left="0" w:leftChars="0" w:firstLine="0"/>
        <w:jc w:val="center"/>
        <w:rPr>
          <w:rFonts w:hint="eastAsia" w:ascii="仿宋" w:hAnsi="仿宋" w:eastAsia="仿宋" w:cs="仿宋"/>
          <w:b/>
          <w:bCs/>
          <w:color w:val="auto"/>
          <w:sz w:val="48"/>
          <w:szCs w:val="48"/>
          <w:lang w:val="en-US" w:eastAsia="zh-CN"/>
        </w:rPr>
      </w:pPr>
      <w:r>
        <w:rPr>
          <w:rFonts w:hint="eastAsia" w:ascii="仿宋" w:hAnsi="仿宋" w:eastAsia="仿宋" w:cs="仿宋"/>
          <w:b/>
          <w:bCs/>
          <w:color w:val="auto"/>
          <w:sz w:val="48"/>
          <w:szCs w:val="48"/>
          <w:lang w:val="en-US" w:eastAsia="zh-CN"/>
        </w:rPr>
        <w:t>湘西湘谷粮油发展有限公司绿色储粮（保温气密性）改造工程</w:t>
      </w:r>
    </w:p>
    <w:p w14:paraId="6C2FA2F4">
      <w:pPr>
        <w:pStyle w:val="25"/>
        <w:ind w:left="0" w:leftChars="0" w:firstLine="0"/>
        <w:rPr>
          <w:rFonts w:hint="eastAsia" w:ascii="仿宋" w:hAnsi="仿宋" w:eastAsia="仿宋" w:cs="仿宋"/>
          <w:color w:val="auto"/>
        </w:rPr>
      </w:pPr>
    </w:p>
    <w:p w14:paraId="55410F5B">
      <w:pPr>
        <w:pStyle w:val="7"/>
        <w:ind w:firstLine="400"/>
        <w:rPr>
          <w:rFonts w:hint="eastAsia" w:ascii="仿宋" w:hAnsi="仿宋" w:eastAsia="仿宋" w:cs="仿宋"/>
          <w:color w:val="auto"/>
        </w:rPr>
      </w:pPr>
    </w:p>
    <w:p w14:paraId="6DDDFD78">
      <w:pPr>
        <w:pStyle w:val="7"/>
        <w:ind w:firstLine="400"/>
        <w:rPr>
          <w:rFonts w:hint="eastAsia" w:ascii="仿宋" w:hAnsi="仿宋" w:eastAsia="仿宋" w:cs="仿宋"/>
          <w:color w:val="auto"/>
        </w:rPr>
      </w:pPr>
    </w:p>
    <w:p w14:paraId="408BEA58">
      <w:pPr>
        <w:jc w:val="center"/>
        <w:rPr>
          <w:rFonts w:hint="eastAsia" w:ascii="仿宋" w:hAnsi="仿宋" w:eastAsia="仿宋" w:cs="仿宋"/>
          <w:b/>
          <w:bCs/>
          <w:color w:val="auto"/>
          <w:sz w:val="28"/>
          <w:szCs w:val="28"/>
        </w:rPr>
      </w:pPr>
    </w:p>
    <w:p w14:paraId="5F56691C">
      <w:pPr>
        <w:spacing w:line="360" w:lineRule="auto"/>
        <w:jc w:val="center"/>
        <w:rPr>
          <w:rFonts w:hint="eastAsia" w:ascii="仿宋" w:hAnsi="仿宋" w:eastAsia="仿宋" w:cs="仿宋"/>
          <w:b/>
          <w:bCs/>
          <w:color w:val="auto"/>
          <w:sz w:val="72"/>
          <w:szCs w:val="72"/>
        </w:rPr>
      </w:pPr>
    </w:p>
    <w:p w14:paraId="17391582">
      <w:pPr>
        <w:spacing w:line="360"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val="en-US" w:eastAsia="zh-CN"/>
        </w:rPr>
        <w:t>竞争性磋商采购</w:t>
      </w:r>
      <w:r>
        <w:rPr>
          <w:rFonts w:hint="eastAsia" w:ascii="仿宋" w:hAnsi="仿宋" w:eastAsia="仿宋" w:cs="仿宋"/>
          <w:b/>
          <w:bCs/>
          <w:color w:val="auto"/>
          <w:sz w:val="84"/>
          <w:szCs w:val="84"/>
        </w:rPr>
        <w:t>文件</w:t>
      </w:r>
    </w:p>
    <w:p w14:paraId="04B94911">
      <w:pPr>
        <w:rPr>
          <w:rFonts w:hint="eastAsia" w:ascii="仿宋" w:hAnsi="仿宋" w:eastAsia="仿宋" w:cs="仿宋"/>
          <w:color w:val="auto"/>
        </w:rPr>
      </w:pPr>
    </w:p>
    <w:p w14:paraId="3AAF3915">
      <w:pPr>
        <w:rPr>
          <w:rFonts w:hint="eastAsia" w:ascii="仿宋" w:hAnsi="仿宋" w:eastAsia="仿宋" w:cs="仿宋"/>
          <w:b/>
          <w:bCs/>
          <w:color w:val="auto"/>
          <w:sz w:val="24"/>
        </w:rPr>
      </w:pPr>
    </w:p>
    <w:p w14:paraId="5A8EE6B4">
      <w:pPr>
        <w:rPr>
          <w:rFonts w:hint="eastAsia" w:ascii="仿宋" w:hAnsi="仿宋" w:eastAsia="仿宋" w:cs="仿宋"/>
          <w:b/>
          <w:bCs/>
          <w:color w:val="auto"/>
          <w:sz w:val="24"/>
        </w:rPr>
      </w:pPr>
    </w:p>
    <w:p w14:paraId="0FA05436">
      <w:pPr>
        <w:rPr>
          <w:rFonts w:hint="eastAsia" w:ascii="仿宋" w:hAnsi="仿宋" w:eastAsia="仿宋" w:cs="仿宋"/>
          <w:b/>
          <w:bCs/>
          <w:color w:val="auto"/>
          <w:w w:val="100"/>
          <w:sz w:val="24"/>
        </w:rPr>
      </w:pPr>
    </w:p>
    <w:p w14:paraId="4909DBA4">
      <w:pPr>
        <w:keepNext w:val="0"/>
        <w:keepLines w:val="0"/>
        <w:pageBreakBefore w:val="0"/>
        <w:widowControl w:val="0"/>
        <w:kinsoku/>
        <w:wordWrap/>
        <w:overflowPunct/>
        <w:topLinePunct w:val="0"/>
        <w:autoSpaceDE/>
        <w:autoSpaceDN/>
        <w:bidi w:val="0"/>
        <w:adjustRightInd/>
        <w:snapToGrid/>
        <w:spacing w:line="740" w:lineRule="exact"/>
        <w:ind w:left="638" w:leftChars="304" w:firstLine="643" w:firstLineChars="200"/>
        <w:jc w:val="left"/>
        <w:textAlignment w:val="auto"/>
        <w:rPr>
          <w:rFonts w:hint="eastAsia" w:ascii="仿宋" w:hAnsi="仿宋" w:eastAsia="仿宋" w:cs="仿宋"/>
          <w:b/>
          <w:bCs/>
          <w:color w:val="auto"/>
          <w:w w:val="100"/>
          <w:sz w:val="32"/>
          <w:szCs w:val="32"/>
          <w:u w:val="single"/>
          <w:lang w:val="en-US" w:eastAsia="zh-CN"/>
        </w:rPr>
      </w:pPr>
      <w:r>
        <w:rPr>
          <w:rFonts w:hint="eastAsia" w:ascii="仿宋" w:hAnsi="仿宋" w:eastAsia="仿宋" w:cs="仿宋"/>
          <w:b/>
          <w:bCs/>
          <w:color w:val="auto"/>
          <w:w w:val="100"/>
          <w:sz w:val="32"/>
          <w:szCs w:val="32"/>
        </w:rPr>
        <w:t>采购项目名称：</w:t>
      </w:r>
      <w:r>
        <w:rPr>
          <w:rFonts w:hint="eastAsia" w:ascii="仿宋" w:hAnsi="仿宋" w:eastAsia="仿宋" w:cs="仿宋"/>
          <w:b/>
          <w:bCs/>
          <w:color w:val="auto"/>
          <w:w w:val="100"/>
          <w:sz w:val="32"/>
          <w:szCs w:val="32"/>
          <w:u w:val="single"/>
          <w:lang w:val="en-US" w:eastAsia="zh-CN"/>
        </w:rPr>
        <w:t>湘西湘谷粮油发展有限公司绿色储粮（保温气密性）改造工程</w:t>
      </w:r>
    </w:p>
    <w:p w14:paraId="7058814A">
      <w:pPr>
        <w:keepNext w:val="0"/>
        <w:keepLines w:val="0"/>
        <w:pageBreakBefore w:val="0"/>
        <w:widowControl w:val="0"/>
        <w:kinsoku/>
        <w:wordWrap/>
        <w:overflowPunct/>
        <w:topLinePunct w:val="0"/>
        <w:autoSpaceDE/>
        <w:autoSpaceDN/>
        <w:bidi w:val="0"/>
        <w:adjustRightInd/>
        <w:snapToGrid/>
        <w:spacing w:line="740" w:lineRule="exact"/>
        <w:ind w:firstLine="1285" w:firstLineChars="400"/>
        <w:textAlignment w:val="auto"/>
        <w:rPr>
          <w:rFonts w:hint="eastAsia" w:ascii="仿宋" w:hAnsi="仿宋" w:eastAsia="仿宋" w:cs="仿宋"/>
          <w:b/>
          <w:bCs/>
          <w:color w:val="auto"/>
          <w:w w:val="100"/>
          <w:sz w:val="32"/>
          <w:szCs w:val="32"/>
          <w:u w:val="single"/>
          <w:lang w:val="en-US" w:eastAsia="zh-CN"/>
        </w:rPr>
      </w:pPr>
      <w:r>
        <w:rPr>
          <w:rFonts w:hint="eastAsia" w:ascii="仿宋" w:hAnsi="仿宋" w:eastAsia="仿宋" w:cs="仿宋"/>
          <w:b/>
          <w:bCs/>
          <w:color w:val="auto"/>
          <w:w w:val="100"/>
          <w:sz w:val="32"/>
          <w:szCs w:val="32"/>
        </w:rPr>
        <w:t>采购代理编号：</w:t>
      </w:r>
      <w:r>
        <w:rPr>
          <w:rFonts w:hint="eastAsia" w:ascii="仿宋" w:hAnsi="仿宋" w:eastAsia="仿宋" w:cs="仿宋"/>
          <w:b/>
          <w:bCs/>
          <w:color w:val="auto"/>
          <w:w w:val="100"/>
          <w:sz w:val="32"/>
          <w:szCs w:val="32"/>
          <w:u w:val="single"/>
          <w:lang w:val="en-US" w:eastAsia="zh-CN"/>
        </w:rPr>
        <w:t>XXXCCG-2025-013</w:t>
      </w:r>
    </w:p>
    <w:p w14:paraId="13A57321">
      <w:pPr>
        <w:keepNext w:val="0"/>
        <w:keepLines w:val="0"/>
        <w:pageBreakBefore w:val="0"/>
        <w:widowControl w:val="0"/>
        <w:kinsoku/>
        <w:wordWrap/>
        <w:overflowPunct/>
        <w:topLinePunct w:val="0"/>
        <w:autoSpaceDE/>
        <w:autoSpaceDN/>
        <w:bidi w:val="0"/>
        <w:adjustRightInd/>
        <w:snapToGrid/>
        <w:spacing w:line="740" w:lineRule="exact"/>
        <w:ind w:firstLine="1285" w:firstLineChars="400"/>
        <w:textAlignment w:val="auto"/>
        <w:rPr>
          <w:rFonts w:hint="eastAsia" w:ascii="仿宋" w:hAnsi="仿宋" w:eastAsia="仿宋" w:cs="仿宋"/>
          <w:color w:val="auto"/>
          <w:u w:val="single"/>
          <w:lang w:val="en-US"/>
        </w:rPr>
      </w:pPr>
      <w:r>
        <w:rPr>
          <w:rFonts w:hint="eastAsia" w:ascii="仿宋" w:hAnsi="仿宋" w:eastAsia="仿宋" w:cs="仿宋"/>
          <w:b/>
          <w:bCs/>
          <w:color w:val="auto"/>
          <w:w w:val="100"/>
          <w:sz w:val="32"/>
          <w:szCs w:val="32"/>
        </w:rPr>
        <w:t>采   购   人：</w:t>
      </w:r>
      <w:r>
        <w:rPr>
          <w:rFonts w:hint="eastAsia" w:ascii="仿宋" w:hAnsi="仿宋" w:eastAsia="仿宋" w:cs="仿宋"/>
          <w:b/>
          <w:bCs/>
          <w:color w:val="auto"/>
          <w:w w:val="100"/>
          <w:sz w:val="32"/>
          <w:szCs w:val="32"/>
          <w:u w:val="single"/>
          <w:lang w:val="en-US" w:eastAsia="zh-CN"/>
        </w:rPr>
        <w:t>湘西湘谷粮油发展有限公司</w:t>
      </w:r>
    </w:p>
    <w:p w14:paraId="3345F75A">
      <w:pPr>
        <w:keepNext w:val="0"/>
        <w:keepLines w:val="0"/>
        <w:pageBreakBefore w:val="0"/>
        <w:widowControl w:val="0"/>
        <w:kinsoku/>
        <w:wordWrap/>
        <w:overflowPunct/>
        <w:topLinePunct w:val="0"/>
        <w:autoSpaceDE/>
        <w:autoSpaceDN/>
        <w:bidi w:val="0"/>
        <w:adjustRightInd/>
        <w:snapToGrid/>
        <w:spacing w:line="740" w:lineRule="exact"/>
        <w:ind w:firstLine="1285" w:firstLineChars="400"/>
        <w:textAlignment w:val="auto"/>
        <w:rPr>
          <w:rFonts w:hint="eastAsia" w:ascii="仿宋" w:hAnsi="仿宋" w:eastAsia="仿宋" w:cs="仿宋"/>
          <w:b/>
          <w:bCs/>
          <w:color w:val="auto"/>
          <w:w w:val="94"/>
          <w:sz w:val="24"/>
          <w:lang w:val="en-US" w:eastAsia="zh-CN"/>
        </w:rPr>
      </w:pPr>
      <w:r>
        <w:rPr>
          <w:rFonts w:hint="eastAsia" w:ascii="仿宋" w:hAnsi="仿宋" w:eastAsia="仿宋" w:cs="仿宋"/>
          <w:b/>
          <w:bCs/>
          <w:color w:val="auto"/>
          <w:sz w:val="32"/>
          <w:szCs w:val="32"/>
        </w:rPr>
        <w:t>采购代理机构：</w:t>
      </w:r>
      <w:r>
        <w:rPr>
          <w:rFonts w:hint="eastAsia" w:ascii="仿宋" w:hAnsi="仿宋" w:eastAsia="仿宋" w:cs="仿宋"/>
          <w:b/>
          <w:bCs/>
          <w:color w:val="auto"/>
          <w:sz w:val="32"/>
          <w:szCs w:val="32"/>
          <w:u w:val="single"/>
          <w:lang w:eastAsia="zh-CN"/>
        </w:rPr>
        <w:t>湘西鑫诚工程管理咨询有限公司</w:t>
      </w:r>
    </w:p>
    <w:p w14:paraId="7C67AC93">
      <w:pPr>
        <w:spacing w:line="360" w:lineRule="auto"/>
        <w:rPr>
          <w:rFonts w:hint="eastAsia" w:ascii="仿宋" w:hAnsi="仿宋" w:eastAsia="仿宋" w:cs="仿宋"/>
          <w:b/>
          <w:bCs/>
          <w:color w:val="auto"/>
          <w:sz w:val="24"/>
        </w:rPr>
      </w:pPr>
    </w:p>
    <w:p w14:paraId="4339F6F9">
      <w:pPr>
        <w:pStyle w:val="22"/>
        <w:rPr>
          <w:rFonts w:hint="eastAsia" w:ascii="仿宋" w:hAnsi="仿宋" w:eastAsia="仿宋" w:cs="仿宋"/>
          <w:color w:val="auto"/>
        </w:rPr>
      </w:pPr>
    </w:p>
    <w:p w14:paraId="6012527C">
      <w:pPr>
        <w:spacing w:line="360" w:lineRule="auto"/>
        <w:rPr>
          <w:rFonts w:hint="eastAsia" w:ascii="仿宋" w:hAnsi="仿宋" w:eastAsia="仿宋" w:cs="仿宋"/>
          <w:b/>
          <w:bCs/>
          <w:color w:val="auto"/>
          <w:sz w:val="24"/>
        </w:rPr>
      </w:pPr>
    </w:p>
    <w:p w14:paraId="792A2CF9">
      <w:pPr>
        <w:rPr>
          <w:rFonts w:hint="eastAsia" w:ascii="仿宋" w:hAnsi="仿宋" w:eastAsia="仿宋" w:cs="仿宋"/>
          <w:color w:val="auto"/>
        </w:rPr>
      </w:pPr>
    </w:p>
    <w:p w14:paraId="155F53EA">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日    期：</w:t>
      </w:r>
      <w:r>
        <w:rPr>
          <w:rFonts w:hint="eastAsia" w:ascii="仿宋" w:hAnsi="仿宋" w:eastAsia="仿宋" w:cs="仿宋"/>
          <w:b/>
          <w:bCs/>
          <w:color w:val="auto"/>
          <w:sz w:val="32"/>
          <w:szCs w:val="32"/>
          <w:u w:val="single"/>
          <w:lang w:val="en-US" w:eastAsia="zh-CN"/>
        </w:rPr>
        <w:t>2025</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u w:val="single"/>
          <w:lang w:val="en-US" w:eastAsia="zh-CN"/>
        </w:rPr>
        <w:t xml:space="preserve">6 </w:t>
      </w:r>
      <w:r>
        <w:rPr>
          <w:rFonts w:hint="eastAsia" w:ascii="仿宋" w:hAnsi="仿宋" w:eastAsia="仿宋" w:cs="仿宋"/>
          <w:b/>
          <w:bCs/>
          <w:color w:val="auto"/>
          <w:sz w:val="32"/>
          <w:szCs w:val="32"/>
        </w:rPr>
        <w:t>月</w:t>
      </w:r>
    </w:p>
    <w:p w14:paraId="32101AAD">
      <w:pPr>
        <w:rPr>
          <w:rFonts w:hint="eastAsia" w:ascii="仿宋" w:hAnsi="仿宋" w:eastAsia="仿宋" w:cs="仿宋"/>
          <w:color w:val="auto"/>
        </w:rPr>
      </w:pPr>
      <w:r>
        <w:rPr>
          <w:rFonts w:hint="eastAsia" w:ascii="仿宋" w:hAnsi="仿宋" w:eastAsia="仿宋" w:cs="仿宋"/>
          <w:color w:val="auto"/>
        </w:rPr>
        <w:br w:type="page"/>
      </w:r>
    </w:p>
    <w:p w14:paraId="3F219FD1">
      <w:pPr>
        <w:jc w:val="center"/>
        <w:rPr>
          <w:rFonts w:hint="eastAsia" w:ascii="仿宋" w:hAnsi="仿宋" w:eastAsia="仿宋" w:cs="仿宋"/>
          <w:b/>
          <w:color w:val="auto"/>
          <w:kern w:val="1"/>
          <w:sz w:val="32"/>
          <w:szCs w:val="32"/>
          <w:lang w:val="en-US" w:eastAsia="zh-CN"/>
        </w:rPr>
      </w:pPr>
      <w:bookmarkStart w:id="0" w:name="_Toc28359011"/>
      <w:bookmarkStart w:id="1" w:name="_Toc35393797"/>
      <w:bookmarkStart w:id="2" w:name="_Toc30852"/>
      <w:bookmarkStart w:id="3" w:name="_Toc28740"/>
      <w:r>
        <w:rPr>
          <w:rFonts w:hint="eastAsia" w:ascii="仿宋" w:hAnsi="仿宋" w:eastAsia="仿宋" w:cs="仿宋"/>
          <w:b/>
          <w:color w:val="auto"/>
          <w:kern w:val="1"/>
          <w:sz w:val="32"/>
          <w:szCs w:val="32"/>
          <w:lang w:val="en-US" w:eastAsia="zh-CN"/>
        </w:rPr>
        <w:t>目  录</w:t>
      </w:r>
    </w:p>
    <w:p w14:paraId="10EA39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kern w:val="1"/>
          <w:sz w:val="21"/>
          <w:szCs w:val="21"/>
        </w:rPr>
      </w:pPr>
    </w:p>
    <w:p w14:paraId="3456C55E">
      <w:pPr>
        <w:pStyle w:val="20"/>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36"/>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TOC \o "1-3" \h \u </w:instrText>
      </w:r>
      <w:r>
        <w:rPr>
          <w:rFonts w:hint="eastAsia" w:ascii="仿宋" w:hAnsi="仿宋" w:eastAsia="仿宋" w:cs="仿宋"/>
          <w:color w:val="auto"/>
          <w:sz w:val="21"/>
          <w:szCs w:val="21"/>
        </w:rPr>
        <w:fldChar w:fldCharType="separate"/>
      </w: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HYPERLINK \l _Toc28306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kern w:val="1"/>
          <w:sz w:val="28"/>
          <w:szCs w:val="44"/>
        </w:rPr>
        <w:t xml:space="preserve">第一章 </w:t>
      </w:r>
      <w:r>
        <w:rPr>
          <w:rFonts w:hint="eastAsia" w:ascii="仿宋" w:hAnsi="仿宋" w:eastAsia="仿宋" w:cs="仿宋"/>
          <w:b/>
          <w:bCs/>
          <w:color w:val="auto"/>
          <w:kern w:val="1"/>
          <w:sz w:val="28"/>
          <w:szCs w:val="44"/>
          <w:lang w:eastAsia="zh-CN"/>
        </w:rPr>
        <w:t>磋商</w:t>
      </w:r>
      <w:r>
        <w:rPr>
          <w:rFonts w:hint="eastAsia" w:ascii="仿宋" w:hAnsi="仿宋" w:eastAsia="仿宋" w:cs="仿宋"/>
          <w:b/>
          <w:bCs/>
          <w:color w:val="auto"/>
          <w:kern w:val="1"/>
          <w:sz w:val="28"/>
          <w:szCs w:val="44"/>
          <w:lang w:val="en-US" w:eastAsia="zh-CN"/>
        </w:rPr>
        <w:t>采购</w:t>
      </w:r>
      <w:r>
        <w:rPr>
          <w:rFonts w:hint="eastAsia" w:ascii="仿宋" w:hAnsi="仿宋" w:eastAsia="仿宋" w:cs="仿宋"/>
          <w:b/>
          <w:bCs/>
          <w:color w:val="auto"/>
          <w:kern w:val="1"/>
          <w:sz w:val="28"/>
          <w:szCs w:val="44"/>
        </w:rPr>
        <w:t>邀请</w:t>
      </w:r>
      <w:r>
        <w:rPr>
          <w:rFonts w:hint="eastAsia" w:ascii="仿宋" w:hAnsi="仿宋" w:eastAsia="仿宋" w:cs="仿宋"/>
          <w:b/>
          <w:bCs/>
          <w:color w:val="auto"/>
          <w:sz w:val="28"/>
          <w:szCs w:val="36"/>
        </w:rPr>
        <w:tab/>
      </w:r>
      <w:r>
        <w:rPr>
          <w:rFonts w:hint="eastAsia" w:ascii="仿宋" w:hAnsi="仿宋" w:eastAsia="仿宋" w:cs="仿宋"/>
          <w:b/>
          <w:bCs/>
          <w:color w:val="auto"/>
          <w:sz w:val="28"/>
          <w:szCs w:val="36"/>
        </w:rPr>
        <w:fldChar w:fldCharType="begin"/>
      </w:r>
      <w:r>
        <w:rPr>
          <w:rFonts w:hint="eastAsia" w:ascii="仿宋" w:hAnsi="仿宋" w:eastAsia="仿宋" w:cs="仿宋"/>
          <w:b/>
          <w:bCs/>
          <w:color w:val="auto"/>
          <w:sz w:val="28"/>
          <w:szCs w:val="36"/>
        </w:rPr>
        <w:instrText xml:space="preserve"> PAGEREF _Toc28306 \h </w:instrText>
      </w:r>
      <w:r>
        <w:rPr>
          <w:rFonts w:hint="eastAsia" w:ascii="仿宋" w:hAnsi="仿宋" w:eastAsia="仿宋" w:cs="仿宋"/>
          <w:b/>
          <w:bCs/>
          <w:color w:val="auto"/>
          <w:sz w:val="28"/>
          <w:szCs w:val="36"/>
        </w:rPr>
        <w:fldChar w:fldCharType="separate"/>
      </w:r>
      <w:r>
        <w:rPr>
          <w:rFonts w:hint="eastAsia" w:ascii="仿宋" w:hAnsi="仿宋" w:eastAsia="仿宋" w:cs="仿宋"/>
          <w:b/>
          <w:bCs/>
          <w:color w:val="auto"/>
          <w:sz w:val="28"/>
          <w:szCs w:val="36"/>
        </w:rPr>
        <w:t>3</w:t>
      </w:r>
      <w:r>
        <w:rPr>
          <w:rFonts w:hint="eastAsia" w:ascii="仿宋" w:hAnsi="仿宋" w:eastAsia="仿宋" w:cs="仿宋"/>
          <w:b/>
          <w:bCs/>
          <w:color w:val="auto"/>
          <w:sz w:val="28"/>
          <w:szCs w:val="36"/>
        </w:rPr>
        <w:fldChar w:fldCharType="end"/>
      </w:r>
      <w:r>
        <w:rPr>
          <w:rFonts w:hint="eastAsia" w:ascii="仿宋" w:hAnsi="仿宋" w:eastAsia="仿宋" w:cs="仿宋"/>
          <w:b/>
          <w:bCs/>
          <w:color w:val="auto"/>
          <w:sz w:val="28"/>
          <w:szCs w:val="28"/>
        </w:rPr>
        <w:fldChar w:fldCharType="end"/>
      </w:r>
    </w:p>
    <w:p w14:paraId="39D00F77">
      <w:pPr>
        <w:pStyle w:val="22"/>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36"/>
        </w:rPr>
      </w:pPr>
    </w:p>
    <w:p w14:paraId="7DC7C936">
      <w:pPr>
        <w:pStyle w:val="20"/>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HYPERLINK \l _Toc18422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kern w:val="1"/>
          <w:sz w:val="28"/>
          <w:szCs w:val="44"/>
        </w:rPr>
        <w:t xml:space="preserve">第二章 </w:t>
      </w:r>
      <w:r>
        <w:rPr>
          <w:rFonts w:hint="eastAsia" w:ascii="仿宋" w:hAnsi="仿宋" w:eastAsia="仿宋" w:cs="仿宋"/>
          <w:b/>
          <w:bCs/>
          <w:color w:val="auto"/>
          <w:kern w:val="1"/>
          <w:sz w:val="28"/>
          <w:szCs w:val="44"/>
          <w:lang w:val="en-US" w:eastAsia="zh-CN"/>
        </w:rPr>
        <w:t>供应商</w:t>
      </w:r>
      <w:r>
        <w:rPr>
          <w:rFonts w:hint="eastAsia" w:ascii="仿宋" w:hAnsi="仿宋" w:eastAsia="仿宋" w:cs="仿宋"/>
          <w:b/>
          <w:bCs/>
          <w:color w:val="auto"/>
          <w:kern w:val="1"/>
          <w:sz w:val="28"/>
          <w:szCs w:val="44"/>
        </w:rPr>
        <w:t>须知</w:t>
      </w:r>
      <w:r>
        <w:rPr>
          <w:rFonts w:hint="eastAsia" w:ascii="仿宋" w:hAnsi="仿宋" w:eastAsia="仿宋" w:cs="仿宋"/>
          <w:b/>
          <w:bCs/>
          <w:color w:val="auto"/>
          <w:sz w:val="28"/>
          <w:szCs w:val="36"/>
        </w:rPr>
        <w:tab/>
      </w:r>
      <w:r>
        <w:rPr>
          <w:rFonts w:hint="eastAsia" w:ascii="仿宋" w:hAnsi="仿宋" w:eastAsia="仿宋" w:cs="仿宋"/>
          <w:b/>
          <w:bCs/>
          <w:color w:val="auto"/>
          <w:sz w:val="28"/>
          <w:szCs w:val="36"/>
        </w:rPr>
        <w:fldChar w:fldCharType="begin"/>
      </w:r>
      <w:r>
        <w:rPr>
          <w:rFonts w:hint="eastAsia" w:ascii="仿宋" w:hAnsi="仿宋" w:eastAsia="仿宋" w:cs="仿宋"/>
          <w:b/>
          <w:bCs/>
          <w:color w:val="auto"/>
          <w:sz w:val="28"/>
          <w:szCs w:val="36"/>
        </w:rPr>
        <w:instrText xml:space="preserve"> PAGEREF _Toc18422 \h </w:instrText>
      </w:r>
      <w:r>
        <w:rPr>
          <w:rFonts w:hint="eastAsia" w:ascii="仿宋" w:hAnsi="仿宋" w:eastAsia="仿宋" w:cs="仿宋"/>
          <w:b/>
          <w:bCs/>
          <w:color w:val="auto"/>
          <w:sz w:val="28"/>
          <w:szCs w:val="36"/>
        </w:rPr>
        <w:fldChar w:fldCharType="separate"/>
      </w:r>
      <w:r>
        <w:rPr>
          <w:rFonts w:hint="eastAsia" w:ascii="仿宋" w:hAnsi="仿宋" w:eastAsia="仿宋" w:cs="仿宋"/>
          <w:b/>
          <w:bCs/>
          <w:color w:val="auto"/>
          <w:sz w:val="28"/>
          <w:szCs w:val="36"/>
        </w:rPr>
        <w:t>5</w:t>
      </w:r>
      <w:r>
        <w:rPr>
          <w:rFonts w:hint="eastAsia" w:ascii="仿宋" w:hAnsi="仿宋" w:eastAsia="仿宋" w:cs="仿宋"/>
          <w:b/>
          <w:bCs/>
          <w:color w:val="auto"/>
          <w:sz w:val="28"/>
          <w:szCs w:val="36"/>
        </w:rPr>
        <w:fldChar w:fldCharType="end"/>
      </w:r>
      <w:r>
        <w:rPr>
          <w:rFonts w:hint="eastAsia" w:ascii="仿宋" w:hAnsi="仿宋" w:eastAsia="仿宋" w:cs="仿宋"/>
          <w:b/>
          <w:bCs/>
          <w:color w:val="auto"/>
          <w:sz w:val="28"/>
          <w:szCs w:val="28"/>
        </w:rPr>
        <w:fldChar w:fldCharType="end"/>
      </w:r>
    </w:p>
    <w:p w14:paraId="33A9EB1C">
      <w:pPr>
        <w:pStyle w:val="15"/>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36"/>
        </w:rPr>
      </w:pPr>
    </w:p>
    <w:p w14:paraId="78E196D0">
      <w:pPr>
        <w:pStyle w:val="20"/>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HYPERLINK \l _Toc8628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kern w:val="1"/>
          <w:sz w:val="28"/>
          <w:szCs w:val="44"/>
        </w:rPr>
        <w:t>第三章 合同草案条款</w:t>
      </w:r>
      <w:r>
        <w:rPr>
          <w:rFonts w:hint="eastAsia" w:ascii="仿宋" w:hAnsi="仿宋" w:eastAsia="仿宋" w:cs="仿宋"/>
          <w:b/>
          <w:bCs/>
          <w:color w:val="auto"/>
          <w:sz w:val="28"/>
          <w:szCs w:val="36"/>
        </w:rPr>
        <w:tab/>
      </w:r>
      <w:r>
        <w:rPr>
          <w:rFonts w:hint="eastAsia" w:ascii="仿宋" w:hAnsi="仿宋" w:eastAsia="仿宋" w:cs="仿宋"/>
          <w:b/>
          <w:bCs/>
          <w:color w:val="auto"/>
          <w:sz w:val="28"/>
          <w:szCs w:val="36"/>
          <w:lang w:val="en-US" w:eastAsia="zh-CN"/>
        </w:rPr>
        <w:t>2</w:t>
      </w:r>
      <w:r>
        <w:rPr>
          <w:rFonts w:hint="eastAsia" w:ascii="仿宋" w:hAnsi="仿宋" w:eastAsia="仿宋" w:cs="仿宋"/>
          <w:b/>
          <w:bCs/>
          <w:color w:val="auto"/>
          <w:sz w:val="28"/>
          <w:szCs w:val="28"/>
        </w:rPr>
        <w:fldChar w:fldCharType="end"/>
      </w:r>
      <w:r>
        <w:rPr>
          <w:rFonts w:hint="eastAsia" w:ascii="仿宋" w:hAnsi="仿宋" w:eastAsia="仿宋" w:cs="仿宋"/>
          <w:b/>
          <w:bCs/>
          <w:color w:val="auto"/>
          <w:sz w:val="28"/>
          <w:szCs w:val="28"/>
          <w:lang w:val="en-US" w:eastAsia="zh-CN"/>
        </w:rPr>
        <w:t>3</w:t>
      </w:r>
    </w:p>
    <w:p w14:paraId="6E5EB59A">
      <w:pPr>
        <w:pStyle w:val="22"/>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36"/>
        </w:rPr>
      </w:pPr>
    </w:p>
    <w:p w14:paraId="625A7614">
      <w:pPr>
        <w:pStyle w:val="20"/>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HYPERLINK \l _Toc26785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sz w:val="28"/>
          <w:szCs w:val="44"/>
        </w:rPr>
        <w:t>第四章 采购需求</w:t>
      </w:r>
      <w:r>
        <w:rPr>
          <w:rFonts w:hint="eastAsia" w:ascii="仿宋" w:hAnsi="仿宋" w:eastAsia="仿宋" w:cs="仿宋"/>
          <w:b/>
          <w:bCs/>
          <w:color w:val="auto"/>
          <w:sz w:val="28"/>
          <w:szCs w:val="36"/>
        </w:rPr>
        <w:tab/>
      </w:r>
      <w:r>
        <w:rPr>
          <w:rFonts w:hint="eastAsia" w:ascii="仿宋" w:hAnsi="仿宋" w:eastAsia="仿宋" w:cs="仿宋"/>
          <w:b/>
          <w:bCs/>
          <w:color w:val="auto"/>
          <w:sz w:val="28"/>
          <w:szCs w:val="36"/>
          <w:lang w:val="en-US" w:eastAsia="zh-CN"/>
        </w:rPr>
        <w:t>2</w:t>
      </w:r>
      <w:r>
        <w:rPr>
          <w:rFonts w:hint="eastAsia" w:ascii="仿宋" w:hAnsi="仿宋" w:eastAsia="仿宋" w:cs="仿宋"/>
          <w:b/>
          <w:bCs/>
          <w:color w:val="auto"/>
          <w:sz w:val="28"/>
          <w:szCs w:val="28"/>
        </w:rPr>
        <w:fldChar w:fldCharType="end"/>
      </w:r>
      <w:r>
        <w:rPr>
          <w:rFonts w:hint="eastAsia" w:ascii="仿宋" w:hAnsi="仿宋" w:eastAsia="仿宋" w:cs="仿宋"/>
          <w:b/>
          <w:bCs/>
          <w:color w:val="auto"/>
          <w:sz w:val="28"/>
          <w:szCs w:val="28"/>
          <w:lang w:val="en-US" w:eastAsia="zh-CN"/>
        </w:rPr>
        <w:t>4</w:t>
      </w:r>
    </w:p>
    <w:p w14:paraId="6EA9396A">
      <w:pPr>
        <w:pStyle w:val="22"/>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36"/>
        </w:rPr>
      </w:pPr>
    </w:p>
    <w:p w14:paraId="7204A283">
      <w:pPr>
        <w:pStyle w:val="20"/>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HYPERLINK \l _Toc8080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kern w:val="1"/>
          <w:sz w:val="28"/>
          <w:szCs w:val="44"/>
        </w:rPr>
        <w:t>第五章 响应文件组成</w:t>
      </w:r>
      <w:r>
        <w:rPr>
          <w:rFonts w:hint="eastAsia" w:ascii="仿宋" w:hAnsi="仿宋" w:eastAsia="仿宋" w:cs="仿宋"/>
          <w:b/>
          <w:bCs/>
          <w:color w:val="auto"/>
          <w:sz w:val="28"/>
          <w:szCs w:val="36"/>
        </w:rPr>
        <w:tab/>
      </w:r>
      <w:r>
        <w:rPr>
          <w:rFonts w:hint="eastAsia" w:ascii="仿宋" w:hAnsi="仿宋" w:eastAsia="仿宋" w:cs="仿宋"/>
          <w:b/>
          <w:bCs/>
          <w:color w:val="auto"/>
          <w:sz w:val="28"/>
          <w:szCs w:val="36"/>
          <w:lang w:val="en-US" w:eastAsia="zh-CN"/>
        </w:rPr>
        <w:t>2</w:t>
      </w:r>
      <w:r>
        <w:rPr>
          <w:rFonts w:hint="eastAsia" w:ascii="仿宋" w:hAnsi="仿宋" w:eastAsia="仿宋" w:cs="仿宋"/>
          <w:b/>
          <w:bCs/>
          <w:color w:val="auto"/>
          <w:sz w:val="28"/>
          <w:szCs w:val="28"/>
        </w:rPr>
        <w:fldChar w:fldCharType="end"/>
      </w:r>
      <w:r>
        <w:rPr>
          <w:rFonts w:hint="eastAsia" w:ascii="仿宋" w:hAnsi="仿宋" w:eastAsia="仿宋" w:cs="仿宋"/>
          <w:b/>
          <w:bCs/>
          <w:color w:val="auto"/>
          <w:sz w:val="28"/>
          <w:szCs w:val="28"/>
          <w:lang w:val="en-US" w:eastAsia="zh-CN"/>
        </w:rPr>
        <w:t>9</w:t>
      </w:r>
    </w:p>
    <w:p w14:paraId="5A0AAD42">
      <w:pPr>
        <w:pStyle w:val="22"/>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rPr>
      </w:pPr>
    </w:p>
    <w:p w14:paraId="4EF05C11">
      <w:pPr>
        <w:pStyle w:val="22"/>
        <w:keepNext w:val="0"/>
        <w:keepLines w:val="0"/>
        <w:pageBreakBefore w:val="0"/>
        <w:widowControl w:val="0"/>
        <w:tabs>
          <w:tab w:val="right" w:leader="dot" w:pos="9298"/>
        </w:tabs>
        <w:kinsoku/>
        <w:wordWrap/>
        <w:overflowPunct/>
        <w:topLinePunct w:val="0"/>
        <w:autoSpaceDE/>
        <w:autoSpaceDN/>
        <w:bidi w:val="0"/>
        <w:adjustRightInd/>
        <w:snapToGrid/>
        <w:spacing w:line="420" w:lineRule="exact"/>
        <w:textAlignment w:val="auto"/>
        <w:rPr>
          <w:rFonts w:hint="eastAsia" w:ascii="仿宋" w:hAnsi="仿宋" w:eastAsia="仿宋" w:cs="仿宋"/>
          <w:color w:val="auto"/>
        </w:rPr>
      </w:pPr>
    </w:p>
    <w:p w14:paraId="7CB39852">
      <w:pPr>
        <w:pStyle w:val="11"/>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仿宋" w:hAnsi="仿宋" w:eastAsia="仿宋" w:cs="仿宋"/>
          <w:color w:val="auto"/>
        </w:rPr>
      </w:pPr>
      <w:r>
        <w:rPr>
          <w:rFonts w:hint="eastAsia" w:ascii="仿宋" w:hAnsi="仿宋" w:eastAsia="仿宋" w:cs="仿宋"/>
          <w:color w:val="auto"/>
          <w:szCs w:val="21"/>
        </w:rPr>
        <w:fldChar w:fldCharType="end"/>
      </w:r>
    </w:p>
    <w:p w14:paraId="2B126692">
      <w:pPr>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br w:type="page"/>
      </w:r>
    </w:p>
    <w:p w14:paraId="6B333200">
      <w:pPr>
        <w:numPr>
          <w:ilvl w:val="0"/>
          <w:numId w:val="1"/>
        </w:numPr>
        <w:spacing w:line="360" w:lineRule="auto"/>
        <w:jc w:val="center"/>
        <w:outlineLvl w:val="0"/>
        <w:rPr>
          <w:rFonts w:hint="eastAsia" w:ascii="仿宋" w:hAnsi="仿宋" w:eastAsia="仿宋" w:cs="仿宋"/>
          <w:b/>
          <w:color w:val="auto"/>
          <w:kern w:val="1"/>
          <w:sz w:val="32"/>
          <w:szCs w:val="32"/>
        </w:rPr>
      </w:pPr>
      <w:bookmarkStart w:id="4" w:name="_Toc28306"/>
      <w:r>
        <w:rPr>
          <w:rFonts w:hint="eastAsia" w:ascii="仿宋" w:hAnsi="仿宋" w:eastAsia="仿宋" w:cs="仿宋"/>
          <w:b/>
          <w:color w:val="auto"/>
          <w:kern w:val="1"/>
          <w:sz w:val="32"/>
          <w:szCs w:val="32"/>
          <w:lang w:val="en-US" w:eastAsia="zh-CN"/>
        </w:rPr>
        <w:t>磋商采购</w:t>
      </w:r>
      <w:r>
        <w:rPr>
          <w:rFonts w:hint="eastAsia" w:ascii="仿宋" w:hAnsi="仿宋" w:eastAsia="仿宋" w:cs="仿宋"/>
          <w:b/>
          <w:color w:val="auto"/>
          <w:kern w:val="1"/>
          <w:sz w:val="32"/>
          <w:szCs w:val="32"/>
        </w:rPr>
        <w:t>邀请</w:t>
      </w:r>
      <w:bookmarkEnd w:id="0"/>
      <w:bookmarkEnd w:id="1"/>
      <w:bookmarkEnd w:id="2"/>
      <w:bookmarkEnd w:id="3"/>
      <w:bookmarkEnd w:id="4"/>
    </w:p>
    <w:p w14:paraId="41B14515">
      <w:pPr>
        <w:pStyle w:val="3"/>
        <w:keepNext/>
        <w:keepLines/>
        <w:pageBreakBefore w:val="0"/>
        <w:widowControl w:val="0"/>
        <w:kinsoku/>
        <w:wordWrap/>
        <w:overflowPunct/>
        <w:topLinePunct w:val="0"/>
        <w:autoSpaceDE/>
        <w:autoSpaceDN/>
        <w:bidi w:val="0"/>
        <w:adjustRightInd/>
        <w:snapToGrid/>
        <w:spacing w:before="161" w:beforeLines="50" w:line="360" w:lineRule="auto"/>
        <w:ind w:firstLine="420" w:firstLineChars="200"/>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湘西鑫诚工程管理咨询有限公司受湘西湘谷粮油发展有限公司的委托，拟对湘西湘谷粮油发展有限公司绿色储粮（保温气密性）改造工程进行</w:t>
      </w:r>
      <w:r>
        <w:rPr>
          <w:rFonts w:hint="eastAsia" w:ascii="仿宋" w:hAnsi="仿宋" w:eastAsia="仿宋" w:cs="仿宋"/>
          <w:b w:val="0"/>
          <w:bCs w:val="0"/>
          <w:color w:val="auto"/>
          <w:sz w:val="21"/>
          <w:szCs w:val="21"/>
          <w:highlight w:val="none"/>
          <w:lang w:eastAsia="zh-CN"/>
        </w:rPr>
        <w:t>竞争性磋商</w:t>
      </w:r>
      <w:r>
        <w:rPr>
          <w:rFonts w:hint="eastAsia" w:ascii="仿宋" w:hAnsi="仿宋" w:eastAsia="仿宋" w:cs="仿宋"/>
          <w:b w:val="0"/>
          <w:bCs w:val="0"/>
          <w:color w:val="auto"/>
          <w:sz w:val="21"/>
          <w:szCs w:val="21"/>
          <w:highlight w:val="none"/>
          <w:lang w:val="en-US" w:eastAsia="zh-CN"/>
        </w:rPr>
        <w:t>采购</w:t>
      </w:r>
      <w:r>
        <w:rPr>
          <w:rFonts w:hint="eastAsia" w:ascii="仿宋" w:hAnsi="仿宋" w:eastAsia="仿宋" w:cs="仿宋"/>
          <w:b w:val="0"/>
          <w:bCs w:val="0"/>
          <w:color w:val="auto"/>
          <w:sz w:val="21"/>
          <w:szCs w:val="21"/>
          <w:lang w:eastAsia="zh-CN"/>
        </w:rPr>
        <w:t>，</w:t>
      </w:r>
      <w:bookmarkStart w:id="5" w:name="_Toc18043"/>
      <w:bookmarkStart w:id="6" w:name="_Toc27511"/>
      <w:bookmarkStart w:id="7" w:name="_Toc19528"/>
      <w:r>
        <w:rPr>
          <w:rFonts w:hint="eastAsia" w:ascii="仿宋" w:hAnsi="仿宋" w:eastAsia="仿宋" w:cs="仿宋"/>
          <w:b w:val="0"/>
          <w:bCs w:val="0"/>
          <w:color w:val="auto"/>
          <w:sz w:val="21"/>
          <w:szCs w:val="21"/>
          <w:lang w:eastAsia="zh-CN"/>
        </w:rPr>
        <w:t>现采用发布公告方式，邀请符合资格条件的供应商参与竞争性磋商采购活动。</w:t>
      </w:r>
    </w:p>
    <w:p w14:paraId="2A122B9E">
      <w:pPr>
        <w:pStyle w:val="3"/>
        <w:keepNext/>
        <w:keepLines/>
        <w:pageBreakBefore w:val="0"/>
        <w:widowControl w:val="0"/>
        <w:kinsoku/>
        <w:wordWrap/>
        <w:overflowPunct/>
        <w:topLinePunct w:val="0"/>
        <w:autoSpaceDE/>
        <w:autoSpaceDN/>
        <w:bidi w:val="0"/>
        <w:adjustRightInd/>
        <w:snapToGrid/>
        <w:spacing w:before="161" w:beforeLines="50" w:line="360" w:lineRule="auto"/>
        <w:textAlignment w:val="auto"/>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一、</w:t>
      </w:r>
      <w:r>
        <w:rPr>
          <w:rFonts w:hint="eastAsia" w:ascii="仿宋" w:hAnsi="仿宋" w:eastAsia="仿宋" w:cs="仿宋"/>
          <w:bCs w:val="0"/>
          <w:color w:val="auto"/>
          <w:sz w:val="21"/>
          <w:szCs w:val="21"/>
          <w:lang w:val="en-US" w:eastAsia="zh-CN"/>
        </w:rPr>
        <w:t>采购</w:t>
      </w:r>
      <w:r>
        <w:rPr>
          <w:rFonts w:hint="eastAsia" w:ascii="仿宋" w:hAnsi="仿宋" w:eastAsia="仿宋" w:cs="仿宋"/>
          <w:bCs w:val="0"/>
          <w:color w:val="auto"/>
          <w:sz w:val="21"/>
          <w:szCs w:val="21"/>
        </w:rPr>
        <w:t>项目基本情况</w:t>
      </w:r>
      <w:bookmarkEnd w:id="5"/>
      <w:bookmarkEnd w:id="6"/>
    </w:p>
    <w:p w14:paraId="1BD5B6C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u w:val="single"/>
          <w:lang w:val="en-US"/>
        </w:rPr>
      </w:pPr>
      <w:r>
        <w:rPr>
          <w:rFonts w:hint="eastAsia" w:ascii="仿宋" w:hAnsi="仿宋" w:eastAsia="仿宋" w:cs="仿宋"/>
          <w:color w:val="auto"/>
          <w:sz w:val="21"/>
          <w:szCs w:val="21"/>
        </w:rPr>
        <w:t>1、采购项目名称：</w:t>
      </w:r>
      <w:r>
        <w:rPr>
          <w:rFonts w:hint="eastAsia" w:ascii="仿宋" w:hAnsi="仿宋" w:eastAsia="仿宋" w:cs="仿宋"/>
          <w:color w:val="auto"/>
          <w:sz w:val="21"/>
          <w:szCs w:val="21"/>
          <w:u w:val="single"/>
          <w:lang w:eastAsia="zh-CN"/>
        </w:rPr>
        <w:t>湘西湘谷粮油发展有限公司绿色储粮（保温气密性）改造工程</w:t>
      </w:r>
    </w:p>
    <w:p w14:paraId="6C9BB592">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u w:val="single"/>
          <w:lang w:val="en-US"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计划编号：</w:t>
      </w:r>
      <w:r>
        <w:rPr>
          <w:rFonts w:hint="eastAsia" w:ascii="仿宋" w:hAnsi="仿宋" w:eastAsia="仿宋" w:cs="仿宋"/>
          <w:color w:val="auto"/>
          <w:sz w:val="21"/>
          <w:szCs w:val="21"/>
          <w:u w:val="single"/>
          <w:lang w:val="en-US" w:eastAsia="zh-CN"/>
        </w:rPr>
        <w:t>/</w:t>
      </w:r>
    </w:p>
    <w:p w14:paraId="008E239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i/>
          <w:color w:val="auto"/>
          <w:sz w:val="21"/>
          <w:szCs w:val="21"/>
          <w:u w:val="single"/>
          <w:lang w:val="en-US" w:eastAsia="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采购</w:t>
      </w:r>
      <w:r>
        <w:rPr>
          <w:rFonts w:hint="eastAsia" w:ascii="仿宋" w:hAnsi="仿宋" w:eastAsia="仿宋" w:cs="仿宋"/>
          <w:color w:val="auto"/>
          <w:sz w:val="21"/>
          <w:szCs w:val="21"/>
        </w:rPr>
        <w:t>代理编号：</w:t>
      </w:r>
      <w:r>
        <w:rPr>
          <w:rFonts w:hint="eastAsia" w:ascii="仿宋" w:hAnsi="仿宋" w:eastAsia="仿宋" w:cs="仿宋"/>
          <w:color w:val="auto"/>
          <w:sz w:val="21"/>
          <w:szCs w:val="21"/>
          <w:u w:val="single"/>
          <w:lang w:val="en-US" w:eastAsia="zh-CN"/>
        </w:rPr>
        <w:t>XXXCCG-2025-013</w:t>
      </w:r>
    </w:p>
    <w:p w14:paraId="7325AFE2">
      <w:pPr>
        <w:pStyle w:val="45"/>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rPr>
        <w:t>4、采购</w:t>
      </w:r>
      <w:r>
        <w:rPr>
          <w:rFonts w:hint="eastAsia" w:ascii="仿宋" w:hAnsi="仿宋" w:eastAsia="仿宋" w:cs="仿宋"/>
          <w:bCs/>
          <w:color w:val="auto"/>
          <w:sz w:val="21"/>
          <w:szCs w:val="21"/>
          <w:highlight w:val="none"/>
        </w:rPr>
        <w:t>项目预算：</w:t>
      </w:r>
      <w:r>
        <w:rPr>
          <w:rFonts w:hint="eastAsia" w:ascii="仿宋" w:hAnsi="仿宋" w:eastAsia="仿宋" w:cs="仿宋"/>
          <w:bCs/>
          <w:color w:val="auto"/>
          <w:sz w:val="21"/>
          <w:szCs w:val="21"/>
          <w:highlight w:val="none"/>
          <w:u w:val="single"/>
          <w:lang w:val="en-US" w:eastAsia="zh-CN"/>
        </w:rPr>
        <w:t>2899981.94元</w:t>
      </w:r>
    </w:p>
    <w:p w14:paraId="0FB70EDB">
      <w:pPr>
        <w:pStyle w:val="45"/>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highlight w:val="none"/>
          <w:u w:val="none"/>
          <w:lang w:val="en-US"/>
        </w:rPr>
      </w:pPr>
      <w:r>
        <w:rPr>
          <w:rFonts w:hint="eastAsia" w:ascii="仿宋" w:hAnsi="仿宋" w:eastAsia="仿宋" w:cs="仿宋"/>
          <w:bCs/>
          <w:color w:val="auto"/>
          <w:sz w:val="21"/>
          <w:szCs w:val="21"/>
          <w:highlight w:val="none"/>
          <w:u w:val="none"/>
          <w:lang w:val="en-US" w:eastAsia="zh-CN"/>
        </w:rPr>
        <w:t xml:space="preserve">       最高限价：</w:t>
      </w:r>
      <w:r>
        <w:rPr>
          <w:rFonts w:hint="eastAsia" w:ascii="仿宋" w:hAnsi="仿宋" w:eastAsia="仿宋" w:cs="仿宋"/>
          <w:bCs/>
          <w:color w:val="auto"/>
          <w:sz w:val="21"/>
          <w:szCs w:val="21"/>
          <w:highlight w:val="none"/>
          <w:u w:val="single"/>
          <w:lang w:val="en-US" w:eastAsia="zh-CN"/>
        </w:rPr>
        <w:t xml:space="preserve">2899981.94元 </w:t>
      </w:r>
    </w:p>
    <w:p w14:paraId="15583B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bCs/>
          <w:color w:val="auto"/>
          <w:sz w:val="21"/>
          <w:szCs w:val="21"/>
          <w:u w:val="single"/>
        </w:rPr>
      </w:pPr>
      <w:r>
        <w:rPr>
          <w:rFonts w:hint="eastAsia" w:ascii="仿宋" w:hAnsi="仿宋" w:eastAsia="仿宋" w:cs="仿宋"/>
          <w:bCs/>
          <w:color w:val="auto"/>
          <w:sz w:val="21"/>
          <w:szCs w:val="21"/>
          <w:lang w:val="en-US" w:eastAsia="zh-CN"/>
        </w:rPr>
        <w:t>5</w:t>
      </w:r>
      <w:r>
        <w:rPr>
          <w:rFonts w:hint="eastAsia" w:ascii="仿宋" w:hAnsi="仿宋" w:eastAsia="仿宋" w:cs="仿宋"/>
          <w:bCs/>
          <w:color w:val="auto"/>
          <w:sz w:val="21"/>
          <w:szCs w:val="21"/>
        </w:rPr>
        <w:t>、评标方</w:t>
      </w:r>
      <w:r>
        <w:rPr>
          <w:rFonts w:hint="eastAsia" w:ascii="仿宋" w:hAnsi="仿宋" w:eastAsia="仿宋" w:cs="仿宋"/>
          <w:iCs/>
          <w:color w:val="auto"/>
          <w:sz w:val="21"/>
          <w:szCs w:val="21"/>
        </w:rPr>
        <w:t>法：</w:t>
      </w:r>
      <w:r>
        <w:rPr>
          <w:rFonts w:hint="eastAsia" w:ascii="仿宋" w:hAnsi="仿宋" w:eastAsia="仿宋" w:cs="仿宋"/>
          <w:iCs/>
          <w:color w:val="auto"/>
          <w:sz w:val="21"/>
          <w:szCs w:val="21"/>
        </w:rPr>
        <w:sym w:font="Wingdings" w:char="00FE"/>
      </w:r>
      <w:r>
        <w:rPr>
          <w:rFonts w:hint="eastAsia" w:ascii="仿宋" w:hAnsi="仿宋" w:eastAsia="仿宋" w:cs="仿宋"/>
          <w:iCs/>
          <w:color w:val="auto"/>
          <w:sz w:val="21"/>
          <w:szCs w:val="21"/>
        </w:rPr>
        <w:t xml:space="preserve">综合评分法 </w:t>
      </w:r>
      <w:r>
        <w:rPr>
          <w:rFonts w:hint="eastAsia" w:ascii="仿宋" w:hAnsi="仿宋" w:eastAsia="仿宋" w:cs="仿宋"/>
          <w:iCs/>
          <w:color w:val="auto"/>
          <w:sz w:val="21"/>
          <w:szCs w:val="21"/>
        </w:rPr>
        <w:sym w:font="Wingdings" w:char="00A8"/>
      </w:r>
      <w:r>
        <w:rPr>
          <w:rFonts w:hint="eastAsia" w:ascii="仿宋" w:hAnsi="仿宋" w:eastAsia="仿宋" w:cs="仿宋"/>
          <w:iCs/>
          <w:color w:val="auto"/>
          <w:sz w:val="21"/>
          <w:szCs w:val="21"/>
        </w:rPr>
        <w:t>最低评标价法</w:t>
      </w:r>
    </w:p>
    <w:p w14:paraId="1D638FD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bCs/>
          <w:color w:val="auto"/>
          <w:sz w:val="21"/>
          <w:szCs w:val="21"/>
          <w:u w:val="single"/>
        </w:rPr>
      </w:pPr>
      <w:r>
        <w:rPr>
          <w:rFonts w:hint="eastAsia" w:ascii="仿宋" w:hAnsi="仿宋" w:eastAsia="仿宋" w:cs="仿宋"/>
          <w:bCs/>
          <w:color w:val="auto"/>
          <w:sz w:val="21"/>
          <w:szCs w:val="21"/>
          <w:lang w:val="en-US" w:eastAsia="zh-CN"/>
        </w:rPr>
        <w:t>6</w:t>
      </w:r>
      <w:r>
        <w:rPr>
          <w:rFonts w:hint="eastAsia" w:ascii="仿宋" w:hAnsi="仿宋" w:eastAsia="仿宋" w:cs="仿宋"/>
          <w:bCs/>
          <w:color w:val="auto"/>
          <w:sz w:val="21"/>
          <w:szCs w:val="21"/>
        </w:rPr>
        <w:t>、合同定价方式</w:t>
      </w:r>
      <w:r>
        <w:rPr>
          <w:rFonts w:hint="eastAsia" w:ascii="仿宋" w:hAnsi="仿宋" w:eastAsia="仿宋" w:cs="仿宋"/>
          <w:iCs/>
          <w:color w:val="auto"/>
          <w:sz w:val="21"/>
          <w:szCs w:val="21"/>
        </w:rPr>
        <w:t>：</w:t>
      </w:r>
      <w:r>
        <w:rPr>
          <w:rFonts w:hint="eastAsia" w:ascii="仿宋" w:hAnsi="仿宋" w:eastAsia="仿宋" w:cs="仿宋"/>
          <w:iCs/>
          <w:color w:val="auto"/>
          <w:sz w:val="21"/>
          <w:szCs w:val="21"/>
        </w:rPr>
        <w:sym w:font="Wingdings" w:char="00A8"/>
      </w:r>
      <w:r>
        <w:rPr>
          <w:rFonts w:hint="eastAsia" w:ascii="仿宋" w:hAnsi="仿宋" w:eastAsia="仿宋" w:cs="仿宋"/>
          <w:iCs/>
          <w:color w:val="auto"/>
          <w:sz w:val="21"/>
          <w:szCs w:val="21"/>
        </w:rPr>
        <w:t xml:space="preserve">固定总价 </w:t>
      </w:r>
      <w:r>
        <w:rPr>
          <w:rFonts w:hint="eastAsia" w:ascii="仿宋" w:hAnsi="仿宋" w:eastAsia="仿宋" w:cs="仿宋"/>
          <w:iCs/>
          <w:color w:val="auto"/>
          <w:sz w:val="21"/>
          <w:szCs w:val="21"/>
        </w:rPr>
        <w:sym w:font="Wingdings" w:char="00FE"/>
      </w:r>
      <w:r>
        <w:rPr>
          <w:rFonts w:hint="eastAsia" w:ascii="仿宋" w:hAnsi="仿宋" w:eastAsia="仿宋" w:cs="仿宋"/>
          <w:iCs/>
          <w:color w:val="auto"/>
          <w:sz w:val="21"/>
          <w:szCs w:val="21"/>
        </w:rPr>
        <w:t xml:space="preserve">固定单价 </w:t>
      </w:r>
      <w:r>
        <w:rPr>
          <w:rFonts w:hint="eastAsia" w:ascii="仿宋" w:hAnsi="仿宋" w:eastAsia="仿宋" w:cs="仿宋"/>
          <w:iCs/>
          <w:color w:val="auto"/>
          <w:sz w:val="21"/>
          <w:szCs w:val="21"/>
        </w:rPr>
        <w:sym w:font="Wingdings" w:char="00A8"/>
      </w:r>
      <w:r>
        <w:rPr>
          <w:rFonts w:hint="eastAsia" w:ascii="仿宋" w:hAnsi="仿宋" w:eastAsia="仿宋" w:cs="仿宋"/>
          <w:iCs/>
          <w:color w:val="auto"/>
          <w:sz w:val="21"/>
          <w:szCs w:val="21"/>
        </w:rPr>
        <w:t xml:space="preserve">成本补偿 </w:t>
      </w:r>
      <w:r>
        <w:rPr>
          <w:rFonts w:hint="eastAsia" w:ascii="仿宋" w:hAnsi="仿宋" w:eastAsia="仿宋" w:cs="仿宋"/>
          <w:iCs/>
          <w:color w:val="auto"/>
          <w:sz w:val="21"/>
          <w:szCs w:val="21"/>
        </w:rPr>
        <w:sym w:font="Wingdings" w:char="00A8"/>
      </w:r>
      <w:r>
        <w:rPr>
          <w:rFonts w:hint="eastAsia" w:ascii="仿宋" w:hAnsi="仿宋" w:eastAsia="仿宋" w:cs="仿宋"/>
          <w:iCs/>
          <w:color w:val="auto"/>
          <w:sz w:val="21"/>
          <w:szCs w:val="21"/>
        </w:rPr>
        <w:t>绩效激励</w:t>
      </w:r>
    </w:p>
    <w:p w14:paraId="37F06CC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 w:val="21"/>
          <w:szCs w:val="21"/>
          <w:u w:val="single"/>
          <w:lang w:val="en-US"/>
        </w:rPr>
      </w:pPr>
      <w:r>
        <w:rPr>
          <w:rFonts w:hint="eastAsia" w:ascii="仿宋" w:hAnsi="仿宋" w:eastAsia="仿宋" w:cs="仿宋"/>
          <w:bCs/>
          <w:color w:val="auto"/>
          <w:sz w:val="21"/>
          <w:szCs w:val="21"/>
          <w:lang w:val="en-US" w:eastAsia="zh-CN"/>
        </w:rPr>
        <w:t>7</w:t>
      </w:r>
      <w:r>
        <w:rPr>
          <w:rFonts w:hint="eastAsia" w:ascii="仿宋" w:hAnsi="仿宋" w:eastAsia="仿宋" w:cs="仿宋"/>
          <w:bCs/>
          <w:color w:val="auto"/>
          <w:sz w:val="21"/>
          <w:szCs w:val="21"/>
        </w:rPr>
        <w:t>、合同履行期限：</w:t>
      </w:r>
      <w:r>
        <w:rPr>
          <w:rFonts w:hint="eastAsia" w:ascii="仿宋" w:hAnsi="仿宋" w:eastAsia="仿宋" w:cs="仿宋"/>
          <w:color w:val="auto"/>
          <w:sz w:val="21"/>
          <w:szCs w:val="21"/>
          <w:lang w:eastAsia="zh-CN"/>
        </w:rPr>
        <w:t>合同签订后</w:t>
      </w:r>
      <w:r>
        <w:rPr>
          <w:rFonts w:hint="eastAsia" w:ascii="仿宋" w:hAnsi="仿宋" w:eastAsia="仿宋" w:cs="仿宋"/>
          <w:color w:val="auto"/>
          <w:sz w:val="21"/>
          <w:szCs w:val="21"/>
          <w:highlight w:val="none"/>
          <w:u w:val="single"/>
          <w:lang w:val="en-US" w:eastAsia="zh-CN"/>
        </w:rPr>
        <w:t xml:space="preserve"> 6个月</w:t>
      </w:r>
      <w:r>
        <w:rPr>
          <w:rFonts w:hint="eastAsia" w:ascii="仿宋" w:hAnsi="仿宋" w:eastAsia="仿宋" w:cs="仿宋"/>
          <w:color w:val="auto"/>
          <w:sz w:val="21"/>
          <w:szCs w:val="21"/>
          <w:highlight w:val="none"/>
          <w:u w:val="none"/>
          <w:lang w:val="en-US" w:eastAsia="zh-CN"/>
        </w:rPr>
        <w:t>完</w:t>
      </w:r>
      <w:r>
        <w:rPr>
          <w:rFonts w:hint="eastAsia" w:ascii="仿宋" w:hAnsi="仿宋" w:eastAsia="仿宋" w:cs="仿宋"/>
          <w:color w:val="auto"/>
          <w:sz w:val="21"/>
          <w:szCs w:val="21"/>
          <w:u w:val="none"/>
          <w:lang w:val="en-US" w:eastAsia="zh-CN"/>
        </w:rPr>
        <w:t>成施工</w:t>
      </w:r>
      <w:r>
        <w:rPr>
          <w:rFonts w:hint="eastAsia" w:ascii="仿宋" w:hAnsi="仿宋" w:eastAsia="仿宋" w:cs="仿宋"/>
          <w:color w:val="auto"/>
          <w:sz w:val="21"/>
          <w:szCs w:val="20"/>
          <w:highlight w:val="none"/>
          <w:u w:val="none"/>
          <w:lang w:val="en-US" w:eastAsia="zh-CN"/>
        </w:rPr>
        <w:t>。</w:t>
      </w:r>
    </w:p>
    <w:p w14:paraId="757155A5">
      <w:pPr>
        <w:pStyle w:val="3"/>
        <w:rPr>
          <w:rFonts w:hint="eastAsia" w:ascii="仿宋" w:hAnsi="仿宋" w:eastAsia="仿宋" w:cs="仿宋"/>
          <w:bCs w:val="0"/>
          <w:color w:val="auto"/>
          <w:sz w:val="21"/>
          <w:szCs w:val="21"/>
          <w:lang w:val="en-US" w:eastAsia="zh-CN"/>
        </w:rPr>
      </w:pPr>
      <w:bookmarkStart w:id="8" w:name="_Toc10335"/>
      <w:r>
        <w:rPr>
          <w:rFonts w:hint="eastAsia" w:ascii="仿宋" w:hAnsi="仿宋" w:eastAsia="仿宋" w:cs="仿宋"/>
          <w:bCs w:val="0"/>
          <w:color w:val="auto"/>
          <w:sz w:val="21"/>
          <w:szCs w:val="21"/>
          <w:lang w:val="en-US" w:eastAsia="zh-CN"/>
        </w:rPr>
        <w:t>二、采购需求</w:t>
      </w:r>
      <w:bookmarkEnd w:id="7"/>
      <w:bookmarkEnd w:id="8"/>
    </w:p>
    <w:tbl>
      <w:tblPr>
        <w:tblStyle w:val="26"/>
        <w:tblW w:w="9669" w:type="dxa"/>
        <w:tblInd w:w="9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295"/>
        <w:gridCol w:w="2905"/>
        <w:gridCol w:w="1227"/>
        <w:gridCol w:w="654"/>
        <w:gridCol w:w="1292"/>
        <w:gridCol w:w="756"/>
        <w:gridCol w:w="767"/>
      </w:tblGrid>
      <w:tr w14:paraId="0832F3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2" w:hRule="atLeast"/>
        </w:trPr>
        <w:tc>
          <w:tcPr>
            <w:tcW w:w="773" w:type="dxa"/>
            <w:noWrap w:val="0"/>
            <w:vAlign w:val="center"/>
          </w:tcPr>
          <w:p w14:paraId="1159CF3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rPr>
            </w:pPr>
            <w:bookmarkStart w:id="9" w:name="_Toc25221"/>
            <w:bookmarkStart w:id="10" w:name="_Toc19204"/>
            <w:bookmarkStart w:id="11" w:name="_Toc16790"/>
            <w:bookmarkStart w:id="12" w:name="_Toc19106"/>
            <w:bookmarkStart w:id="13" w:name="_Toc4285"/>
            <w:r>
              <w:rPr>
                <w:rFonts w:hint="eastAsia" w:ascii="仿宋" w:hAnsi="仿宋" w:eastAsia="仿宋" w:cs="仿宋"/>
                <w:color w:val="auto"/>
                <w:sz w:val="21"/>
                <w:szCs w:val="20"/>
                <w:highlight w:val="none"/>
              </w:rPr>
              <w:t>包名称</w:t>
            </w:r>
          </w:p>
        </w:tc>
        <w:tc>
          <w:tcPr>
            <w:tcW w:w="1295" w:type="dxa"/>
            <w:noWrap w:val="0"/>
            <w:vAlign w:val="center"/>
          </w:tcPr>
          <w:p w14:paraId="62587E6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lang w:eastAsia="zh-CN"/>
              </w:rPr>
            </w:pPr>
            <w:r>
              <w:rPr>
                <w:rFonts w:hint="eastAsia" w:ascii="仿宋" w:hAnsi="仿宋" w:eastAsia="仿宋" w:cs="仿宋"/>
                <w:color w:val="auto"/>
                <w:sz w:val="21"/>
                <w:szCs w:val="20"/>
                <w:highlight w:val="none"/>
              </w:rPr>
              <w:t>最高限价</w:t>
            </w:r>
            <w:r>
              <w:rPr>
                <w:rFonts w:hint="eastAsia" w:ascii="仿宋" w:hAnsi="仿宋" w:eastAsia="仿宋" w:cs="仿宋"/>
                <w:color w:val="auto"/>
                <w:sz w:val="21"/>
                <w:szCs w:val="20"/>
                <w:highlight w:val="none"/>
                <w:lang w:eastAsia="zh-CN"/>
              </w:rPr>
              <w:t>（</w:t>
            </w:r>
            <w:r>
              <w:rPr>
                <w:rFonts w:hint="eastAsia" w:ascii="仿宋" w:hAnsi="仿宋" w:eastAsia="仿宋" w:cs="仿宋"/>
                <w:color w:val="auto"/>
                <w:sz w:val="21"/>
                <w:szCs w:val="20"/>
                <w:highlight w:val="none"/>
                <w:lang w:val="en-US" w:eastAsia="zh-CN"/>
              </w:rPr>
              <w:t>元</w:t>
            </w:r>
            <w:r>
              <w:rPr>
                <w:rFonts w:hint="eastAsia" w:ascii="仿宋" w:hAnsi="仿宋" w:eastAsia="仿宋" w:cs="仿宋"/>
                <w:color w:val="auto"/>
                <w:sz w:val="21"/>
                <w:szCs w:val="20"/>
                <w:highlight w:val="none"/>
                <w:lang w:eastAsia="zh-CN"/>
              </w:rPr>
              <w:t>）</w:t>
            </w:r>
          </w:p>
        </w:tc>
        <w:tc>
          <w:tcPr>
            <w:tcW w:w="2905" w:type="dxa"/>
            <w:noWrap w:val="0"/>
            <w:vAlign w:val="center"/>
          </w:tcPr>
          <w:p w14:paraId="7A17D8C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rPr>
            </w:pPr>
            <w:r>
              <w:rPr>
                <w:rFonts w:hint="eastAsia" w:ascii="仿宋" w:hAnsi="仿宋" w:eastAsia="仿宋" w:cs="仿宋"/>
                <w:color w:val="auto"/>
                <w:sz w:val="21"/>
                <w:szCs w:val="20"/>
                <w:highlight w:val="none"/>
              </w:rPr>
              <w:t>标的名称</w:t>
            </w:r>
          </w:p>
        </w:tc>
        <w:tc>
          <w:tcPr>
            <w:tcW w:w="1227" w:type="dxa"/>
            <w:tcBorders>
              <w:left w:val="single" w:color="auto" w:sz="4" w:space="0"/>
            </w:tcBorders>
            <w:noWrap w:val="0"/>
            <w:vAlign w:val="center"/>
          </w:tcPr>
          <w:p w14:paraId="55FB0BD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rPr>
            </w:pPr>
            <w:r>
              <w:rPr>
                <w:rFonts w:hint="eastAsia" w:ascii="仿宋" w:hAnsi="仿宋" w:eastAsia="仿宋" w:cs="仿宋"/>
                <w:color w:val="auto"/>
                <w:sz w:val="21"/>
                <w:szCs w:val="20"/>
                <w:highlight w:val="none"/>
              </w:rPr>
              <w:t>简要技术要求</w:t>
            </w:r>
          </w:p>
        </w:tc>
        <w:tc>
          <w:tcPr>
            <w:tcW w:w="654" w:type="dxa"/>
            <w:tcBorders>
              <w:left w:val="single" w:color="auto" w:sz="4" w:space="0"/>
            </w:tcBorders>
            <w:noWrap w:val="0"/>
            <w:vAlign w:val="center"/>
          </w:tcPr>
          <w:p w14:paraId="51CB7A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kern w:val="0"/>
                <w:sz w:val="21"/>
                <w:szCs w:val="20"/>
                <w:highlight w:val="none"/>
              </w:rPr>
            </w:pPr>
            <w:r>
              <w:rPr>
                <w:rFonts w:hint="eastAsia" w:ascii="仿宋" w:hAnsi="仿宋" w:eastAsia="仿宋" w:cs="仿宋"/>
                <w:color w:val="auto"/>
                <w:sz w:val="21"/>
                <w:szCs w:val="20"/>
                <w:highlight w:val="none"/>
              </w:rPr>
              <w:t>数量</w:t>
            </w:r>
          </w:p>
        </w:tc>
        <w:tc>
          <w:tcPr>
            <w:tcW w:w="1292" w:type="dxa"/>
            <w:noWrap w:val="0"/>
            <w:vAlign w:val="center"/>
          </w:tcPr>
          <w:p w14:paraId="6635065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lang w:eastAsia="zh-CN"/>
              </w:rPr>
            </w:pPr>
            <w:r>
              <w:rPr>
                <w:rFonts w:hint="eastAsia" w:ascii="仿宋" w:hAnsi="仿宋" w:eastAsia="仿宋" w:cs="仿宋"/>
                <w:color w:val="auto"/>
                <w:sz w:val="21"/>
                <w:szCs w:val="20"/>
                <w:highlight w:val="none"/>
              </w:rPr>
              <w:t>标的预算</w:t>
            </w:r>
            <w:r>
              <w:rPr>
                <w:rFonts w:hint="eastAsia" w:ascii="仿宋" w:hAnsi="仿宋" w:eastAsia="仿宋" w:cs="仿宋"/>
                <w:color w:val="auto"/>
                <w:sz w:val="21"/>
                <w:szCs w:val="20"/>
                <w:highlight w:val="none"/>
                <w:lang w:eastAsia="zh-CN"/>
              </w:rPr>
              <w:t>（</w:t>
            </w:r>
            <w:r>
              <w:rPr>
                <w:rFonts w:hint="eastAsia" w:ascii="仿宋" w:hAnsi="仿宋" w:eastAsia="仿宋" w:cs="仿宋"/>
                <w:color w:val="auto"/>
                <w:sz w:val="21"/>
                <w:szCs w:val="20"/>
                <w:highlight w:val="none"/>
                <w:lang w:val="en-US" w:eastAsia="zh-CN"/>
              </w:rPr>
              <w:t>元</w:t>
            </w:r>
            <w:r>
              <w:rPr>
                <w:rFonts w:hint="eastAsia" w:ascii="仿宋" w:hAnsi="仿宋" w:eastAsia="仿宋" w:cs="仿宋"/>
                <w:color w:val="auto"/>
                <w:sz w:val="21"/>
                <w:szCs w:val="20"/>
                <w:highlight w:val="none"/>
                <w:lang w:eastAsia="zh-CN"/>
              </w:rPr>
              <w:t>）</w:t>
            </w:r>
          </w:p>
        </w:tc>
        <w:tc>
          <w:tcPr>
            <w:tcW w:w="756" w:type="dxa"/>
            <w:noWrap w:val="0"/>
            <w:vAlign w:val="center"/>
          </w:tcPr>
          <w:p w14:paraId="5B0C351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rPr>
            </w:pPr>
            <w:r>
              <w:rPr>
                <w:rFonts w:hint="eastAsia" w:ascii="仿宋" w:hAnsi="仿宋" w:eastAsia="仿宋" w:cs="仿宋"/>
                <w:color w:val="auto"/>
                <w:sz w:val="21"/>
                <w:szCs w:val="20"/>
                <w:highlight w:val="none"/>
              </w:rPr>
              <w:t>节能产品</w:t>
            </w:r>
          </w:p>
        </w:tc>
        <w:tc>
          <w:tcPr>
            <w:tcW w:w="767" w:type="dxa"/>
            <w:noWrap w:val="0"/>
            <w:vAlign w:val="center"/>
          </w:tcPr>
          <w:p w14:paraId="4F60D9D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rPr>
            </w:pPr>
            <w:r>
              <w:rPr>
                <w:rFonts w:hint="eastAsia" w:ascii="仿宋" w:hAnsi="仿宋" w:eastAsia="仿宋" w:cs="仿宋"/>
                <w:color w:val="auto"/>
                <w:sz w:val="21"/>
                <w:szCs w:val="20"/>
                <w:highlight w:val="none"/>
              </w:rPr>
              <w:t>进口产品</w:t>
            </w:r>
          </w:p>
        </w:tc>
      </w:tr>
      <w:tr w14:paraId="13851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3" w:hRule="atLeast"/>
        </w:trPr>
        <w:tc>
          <w:tcPr>
            <w:tcW w:w="773" w:type="dxa"/>
            <w:noWrap w:val="0"/>
            <w:vAlign w:val="center"/>
          </w:tcPr>
          <w:p w14:paraId="52352C1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lang w:val="en-US" w:eastAsia="zh-CN"/>
              </w:rPr>
            </w:pPr>
            <w:r>
              <w:rPr>
                <w:rFonts w:hint="eastAsia" w:ascii="仿宋" w:hAnsi="仿宋" w:eastAsia="仿宋" w:cs="仿宋"/>
                <w:color w:val="auto"/>
                <w:sz w:val="21"/>
                <w:szCs w:val="20"/>
                <w:highlight w:val="none"/>
                <w:lang w:val="en-US" w:eastAsia="zh-CN"/>
              </w:rPr>
              <w:t>包1</w:t>
            </w:r>
          </w:p>
        </w:tc>
        <w:tc>
          <w:tcPr>
            <w:tcW w:w="1295" w:type="dxa"/>
            <w:noWrap w:val="0"/>
            <w:vAlign w:val="center"/>
          </w:tcPr>
          <w:p w14:paraId="7E2BA6A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lang w:val="en-US" w:eastAsia="zh-CN"/>
              </w:rPr>
            </w:pPr>
            <w:r>
              <w:rPr>
                <w:rFonts w:hint="eastAsia" w:ascii="仿宋" w:hAnsi="仿宋" w:eastAsia="仿宋" w:cs="仿宋"/>
                <w:color w:val="auto"/>
                <w:sz w:val="21"/>
                <w:szCs w:val="20"/>
                <w:highlight w:val="none"/>
                <w:lang w:val="en-US" w:eastAsia="zh-CN"/>
              </w:rPr>
              <w:t>2899981.94</w:t>
            </w:r>
          </w:p>
        </w:tc>
        <w:tc>
          <w:tcPr>
            <w:tcW w:w="2905" w:type="dxa"/>
            <w:noWrap w:val="0"/>
            <w:vAlign w:val="center"/>
          </w:tcPr>
          <w:p w14:paraId="0C9CF8E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lang w:val="en-US" w:eastAsia="zh-CN"/>
              </w:rPr>
            </w:pPr>
            <w:r>
              <w:rPr>
                <w:rFonts w:hint="eastAsia" w:ascii="仿宋" w:hAnsi="仿宋" w:eastAsia="仿宋" w:cs="仿宋"/>
                <w:color w:val="auto"/>
                <w:sz w:val="21"/>
                <w:szCs w:val="20"/>
                <w:highlight w:val="none"/>
                <w:lang w:val="en-US" w:eastAsia="zh-CN"/>
              </w:rPr>
              <w:t>湘西湘谷粮油发展有限公司绿色储粮（保温气密性）改造工程</w:t>
            </w:r>
          </w:p>
        </w:tc>
        <w:tc>
          <w:tcPr>
            <w:tcW w:w="1227" w:type="dxa"/>
            <w:tcBorders>
              <w:left w:val="single" w:color="auto" w:sz="4" w:space="0"/>
            </w:tcBorders>
            <w:noWrap w:val="0"/>
            <w:vAlign w:val="center"/>
          </w:tcPr>
          <w:p w14:paraId="7CF8750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lang w:eastAsia="zh-CN"/>
              </w:rPr>
            </w:pPr>
            <w:r>
              <w:rPr>
                <w:rFonts w:hint="eastAsia" w:ascii="仿宋" w:hAnsi="仿宋" w:eastAsia="仿宋" w:cs="仿宋"/>
                <w:color w:val="auto"/>
                <w:sz w:val="21"/>
                <w:szCs w:val="20"/>
                <w:highlight w:val="none"/>
                <w:lang w:eastAsia="zh-CN"/>
              </w:rPr>
              <w:t>详见采购需求</w:t>
            </w:r>
          </w:p>
        </w:tc>
        <w:tc>
          <w:tcPr>
            <w:tcW w:w="654" w:type="dxa"/>
            <w:tcBorders>
              <w:left w:val="single" w:color="auto" w:sz="4" w:space="0"/>
            </w:tcBorders>
            <w:noWrap w:val="0"/>
            <w:vAlign w:val="center"/>
          </w:tcPr>
          <w:p w14:paraId="178B4E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lang w:val="en-US" w:eastAsia="zh-CN"/>
              </w:rPr>
            </w:pPr>
            <w:r>
              <w:rPr>
                <w:rFonts w:hint="eastAsia" w:ascii="仿宋" w:hAnsi="仿宋" w:eastAsia="仿宋" w:cs="仿宋"/>
                <w:color w:val="auto"/>
                <w:sz w:val="21"/>
                <w:szCs w:val="20"/>
                <w:highlight w:val="none"/>
                <w:lang w:val="en-US" w:eastAsia="zh-CN"/>
              </w:rPr>
              <w:t>1项</w:t>
            </w:r>
          </w:p>
        </w:tc>
        <w:tc>
          <w:tcPr>
            <w:tcW w:w="1292" w:type="dxa"/>
            <w:noWrap w:val="0"/>
            <w:vAlign w:val="center"/>
          </w:tcPr>
          <w:p w14:paraId="036709B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0"/>
                <w:highlight w:val="none"/>
                <w:lang w:val="en-US" w:eastAsia="zh-CN"/>
              </w:rPr>
            </w:pPr>
            <w:r>
              <w:rPr>
                <w:rFonts w:hint="eastAsia" w:ascii="仿宋" w:hAnsi="仿宋" w:eastAsia="仿宋" w:cs="仿宋"/>
                <w:color w:val="auto"/>
                <w:sz w:val="21"/>
                <w:szCs w:val="20"/>
                <w:highlight w:val="none"/>
                <w:lang w:val="en-US" w:eastAsia="zh-CN"/>
              </w:rPr>
              <w:t>2899981.94</w:t>
            </w:r>
          </w:p>
        </w:tc>
        <w:tc>
          <w:tcPr>
            <w:tcW w:w="756" w:type="dxa"/>
            <w:noWrap w:val="0"/>
            <w:vAlign w:val="center"/>
          </w:tcPr>
          <w:p w14:paraId="36CFA9C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iCs/>
                <w:color w:val="auto"/>
                <w:sz w:val="21"/>
                <w:szCs w:val="20"/>
                <w:highlight w:val="none"/>
              </w:rPr>
            </w:pPr>
            <w:r>
              <w:rPr>
                <w:rFonts w:hint="eastAsia" w:ascii="仿宋" w:hAnsi="仿宋" w:eastAsia="仿宋" w:cs="仿宋"/>
                <w:iCs/>
                <w:color w:val="auto"/>
                <w:sz w:val="21"/>
                <w:szCs w:val="20"/>
                <w:highlight w:val="none"/>
              </w:rPr>
              <w:sym w:font="Wingdings" w:char="00A8"/>
            </w:r>
          </w:p>
        </w:tc>
        <w:tc>
          <w:tcPr>
            <w:tcW w:w="767" w:type="dxa"/>
            <w:noWrap w:val="0"/>
            <w:vAlign w:val="center"/>
          </w:tcPr>
          <w:p w14:paraId="637267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iCs/>
                <w:color w:val="auto"/>
                <w:sz w:val="21"/>
                <w:szCs w:val="20"/>
                <w:highlight w:val="none"/>
              </w:rPr>
            </w:pPr>
            <w:r>
              <w:rPr>
                <w:rFonts w:hint="eastAsia" w:ascii="仿宋" w:hAnsi="仿宋" w:eastAsia="仿宋" w:cs="仿宋"/>
                <w:iCs/>
                <w:color w:val="auto"/>
                <w:sz w:val="21"/>
                <w:szCs w:val="20"/>
                <w:highlight w:val="none"/>
              </w:rPr>
              <w:sym w:font="Wingdings" w:char="00A8"/>
            </w:r>
          </w:p>
        </w:tc>
      </w:tr>
      <w:bookmarkEnd w:id="9"/>
    </w:tbl>
    <w:p w14:paraId="52BC65B6">
      <w:pPr>
        <w:pStyle w:val="3"/>
        <w:rPr>
          <w:rFonts w:hint="eastAsia" w:ascii="仿宋" w:hAnsi="仿宋" w:eastAsia="仿宋" w:cs="仿宋"/>
          <w:bCs w:val="0"/>
          <w:color w:val="auto"/>
          <w:sz w:val="21"/>
          <w:szCs w:val="21"/>
          <w:lang w:val="en-US" w:eastAsia="zh-CN"/>
        </w:rPr>
      </w:pPr>
      <w:bookmarkStart w:id="14" w:name="_Toc32398"/>
      <w:r>
        <w:rPr>
          <w:rFonts w:hint="eastAsia" w:ascii="仿宋" w:hAnsi="仿宋" w:eastAsia="仿宋" w:cs="仿宋"/>
          <w:bCs w:val="0"/>
          <w:color w:val="auto"/>
          <w:sz w:val="21"/>
          <w:szCs w:val="21"/>
          <w:lang w:val="en-US" w:eastAsia="zh-CN"/>
        </w:rPr>
        <w:t>三、申请人的资格要求</w:t>
      </w:r>
      <w:bookmarkEnd w:id="10"/>
      <w:bookmarkEnd w:id="11"/>
      <w:bookmarkEnd w:id="12"/>
      <w:bookmarkEnd w:id="13"/>
      <w:bookmarkEnd w:id="14"/>
    </w:p>
    <w:p w14:paraId="1BE89529">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1、</w:t>
      </w:r>
      <w:r>
        <w:rPr>
          <w:rFonts w:hint="eastAsia" w:ascii="仿宋" w:hAnsi="仿宋" w:eastAsia="仿宋" w:cs="仿宋"/>
          <w:b/>
          <w:bCs/>
          <w:color w:val="auto"/>
          <w:szCs w:val="21"/>
        </w:rPr>
        <w:t>基本资格条件：</w:t>
      </w:r>
      <w:r>
        <w:rPr>
          <w:rFonts w:hint="eastAsia" w:ascii="仿宋" w:hAnsi="仿宋" w:eastAsia="仿宋" w:cs="仿宋"/>
          <w:b/>
          <w:color w:val="auto"/>
          <w:szCs w:val="21"/>
        </w:rPr>
        <w:t>满足《中华人民共和国</w:t>
      </w:r>
      <w:r>
        <w:rPr>
          <w:rFonts w:hint="eastAsia" w:ascii="仿宋" w:hAnsi="仿宋" w:eastAsia="仿宋" w:cs="仿宋"/>
          <w:b/>
          <w:color w:val="auto"/>
          <w:szCs w:val="21"/>
          <w:lang w:val="en-US" w:eastAsia="zh-CN"/>
        </w:rPr>
        <w:t>政府</w:t>
      </w:r>
      <w:r>
        <w:rPr>
          <w:rFonts w:hint="eastAsia" w:ascii="仿宋" w:hAnsi="仿宋" w:eastAsia="仿宋" w:cs="仿宋"/>
          <w:b/>
          <w:color w:val="auto"/>
          <w:szCs w:val="21"/>
          <w:lang w:eastAsia="zh-CN"/>
        </w:rPr>
        <w:t>采购</w:t>
      </w:r>
      <w:r>
        <w:rPr>
          <w:rFonts w:hint="eastAsia" w:ascii="仿宋" w:hAnsi="仿宋" w:eastAsia="仿宋" w:cs="仿宋"/>
          <w:b/>
          <w:color w:val="auto"/>
          <w:szCs w:val="21"/>
        </w:rPr>
        <w:t>法》第二十二条规定</w:t>
      </w:r>
      <w:bookmarkStart w:id="15" w:name="_Toc28359014"/>
      <w:bookmarkStart w:id="16" w:name="_Toc28359091"/>
      <w:r>
        <w:rPr>
          <w:rFonts w:hint="eastAsia" w:ascii="仿宋" w:hAnsi="仿宋" w:eastAsia="仿宋" w:cs="仿宋"/>
          <w:b/>
          <w:color w:val="auto"/>
          <w:szCs w:val="21"/>
        </w:rPr>
        <w:t>，即：</w:t>
      </w:r>
    </w:p>
    <w:p w14:paraId="221F6B7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（1）具有独立承担民事责任的能力；</w:t>
      </w:r>
    </w:p>
    <w:p w14:paraId="4B4C87D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（2）具有良好的商业信誉和健全的财务会计制度；</w:t>
      </w:r>
    </w:p>
    <w:p w14:paraId="594876F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（3）具有履行合同所必需的设备和专业技术能力；</w:t>
      </w:r>
    </w:p>
    <w:p w14:paraId="0ABC80D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（4）有依法缴纳税收和社会保障资金的良好记录；</w:t>
      </w:r>
    </w:p>
    <w:p w14:paraId="179EA78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（5）参加</w:t>
      </w:r>
      <w:r>
        <w:rPr>
          <w:rFonts w:hint="eastAsia" w:ascii="仿宋" w:hAnsi="仿宋" w:eastAsia="仿宋" w:cs="仿宋"/>
          <w:color w:val="auto"/>
          <w:szCs w:val="21"/>
          <w:lang w:eastAsia="zh-CN"/>
        </w:rPr>
        <w:t>采购</w:t>
      </w:r>
      <w:r>
        <w:rPr>
          <w:rFonts w:hint="eastAsia" w:ascii="仿宋" w:hAnsi="仿宋" w:eastAsia="仿宋" w:cs="仿宋"/>
          <w:color w:val="auto"/>
          <w:szCs w:val="21"/>
        </w:rPr>
        <w:t>活动前三年内，在经营活动中没有重大违法记录；</w:t>
      </w:r>
    </w:p>
    <w:p w14:paraId="6DDE46A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（6）法律、行政法规规定的其他条件。</w:t>
      </w:r>
    </w:p>
    <w:p w14:paraId="7275B915">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lang w:val="en-US" w:eastAsia="zh-CN"/>
        </w:rPr>
        <w:t>2、</w:t>
      </w:r>
      <w:r>
        <w:rPr>
          <w:rFonts w:hint="eastAsia" w:ascii="仿宋" w:hAnsi="仿宋" w:eastAsia="仿宋" w:cs="仿宋"/>
          <w:b/>
          <w:bCs/>
          <w:color w:val="auto"/>
          <w:szCs w:val="21"/>
        </w:rPr>
        <w:t>采购项目的特定资格要求</w:t>
      </w:r>
      <w:r>
        <w:rPr>
          <w:rFonts w:hint="eastAsia" w:ascii="仿宋" w:hAnsi="仿宋" w:eastAsia="仿宋" w:cs="仿宋"/>
          <w:b/>
          <w:bCs/>
          <w:color w:val="auto"/>
          <w:szCs w:val="21"/>
          <w:highlight w:val="none"/>
        </w:rPr>
        <w:t>：</w:t>
      </w:r>
    </w:p>
    <w:p w14:paraId="5C477CC8">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2.1</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具备住房城乡建设主管部门颁发的在有效期内的建筑工程施工总承包叁级及以上资质</w:t>
      </w:r>
      <w:r>
        <w:rPr>
          <w:rFonts w:hint="eastAsia" w:ascii="仿宋" w:hAnsi="仿宋" w:eastAsia="仿宋" w:cs="仿宋"/>
          <w:b/>
          <w:bCs/>
          <w:color w:val="auto"/>
          <w:szCs w:val="21"/>
          <w:highlight w:val="none"/>
          <w:lang w:eastAsia="zh-CN"/>
        </w:rPr>
        <w:t>或建筑装修装饰工程专业承包贰级及以上资质</w:t>
      </w:r>
      <w:r>
        <w:rPr>
          <w:rFonts w:hint="eastAsia" w:ascii="仿宋" w:hAnsi="仿宋" w:eastAsia="仿宋" w:cs="仿宋"/>
          <w:b/>
          <w:bCs/>
          <w:color w:val="auto"/>
          <w:szCs w:val="21"/>
          <w:highlight w:val="none"/>
        </w:rPr>
        <w:t>，安全生产许可证处于有效期；</w:t>
      </w:r>
    </w:p>
    <w:p w14:paraId="7331D2C0">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2.2</w:t>
      </w:r>
      <w:r>
        <w:rPr>
          <w:rFonts w:hint="eastAsia" w:ascii="仿宋" w:hAnsi="仿宋" w:eastAsia="仿宋" w:cs="仿宋"/>
          <w:b/>
          <w:bCs/>
          <w:color w:val="auto"/>
          <w:szCs w:val="21"/>
          <w:highlight w:val="none"/>
        </w:rPr>
        <w:t>.拟任项目负责人须具有建筑工程专业贰级及以上</w:t>
      </w:r>
      <w:r>
        <w:rPr>
          <w:rFonts w:hint="eastAsia" w:ascii="仿宋" w:hAnsi="仿宋" w:eastAsia="仿宋" w:cs="仿宋"/>
          <w:b/>
          <w:bCs/>
          <w:color w:val="auto"/>
          <w:szCs w:val="21"/>
          <w:highlight w:val="none"/>
          <w:lang w:eastAsia="zh-CN"/>
        </w:rPr>
        <w:t>注册建造师执业资格</w:t>
      </w:r>
      <w:r>
        <w:rPr>
          <w:rFonts w:hint="eastAsia" w:ascii="仿宋" w:hAnsi="仿宋" w:eastAsia="仿宋" w:cs="仿宋"/>
          <w:b/>
          <w:bCs/>
          <w:color w:val="auto"/>
          <w:szCs w:val="21"/>
          <w:highlight w:val="none"/>
        </w:rPr>
        <w:t>,具备项目负责人安全生产考核合格证书；</w:t>
      </w:r>
    </w:p>
    <w:p w14:paraId="305DD63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bCs/>
          <w:color w:val="auto"/>
          <w:szCs w:val="21"/>
        </w:rPr>
        <w:t>、</w:t>
      </w:r>
      <w:r>
        <w:rPr>
          <w:rFonts w:hint="eastAsia" w:ascii="仿宋" w:hAnsi="仿宋" w:eastAsia="仿宋" w:cs="仿宋"/>
          <w:color w:val="auto"/>
          <w:szCs w:val="21"/>
        </w:rPr>
        <w:t>单位负责人为同一人或者存在直接控股、管理关系的不同供应商，不得参加同一合同项下的</w:t>
      </w:r>
      <w:r>
        <w:rPr>
          <w:rFonts w:hint="eastAsia" w:ascii="仿宋" w:hAnsi="仿宋" w:eastAsia="仿宋" w:cs="仿宋"/>
          <w:color w:val="auto"/>
          <w:szCs w:val="21"/>
          <w:lang w:eastAsia="zh-CN"/>
        </w:rPr>
        <w:t>采购</w:t>
      </w:r>
      <w:r>
        <w:rPr>
          <w:rFonts w:hint="eastAsia" w:ascii="仿宋" w:hAnsi="仿宋" w:eastAsia="仿宋" w:cs="仿宋"/>
          <w:color w:val="auto"/>
          <w:szCs w:val="21"/>
        </w:rPr>
        <w:t>活动。</w:t>
      </w:r>
    </w:p>
    <w:p w14:paraId="51882BF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bCs/>
          <w:color w:val="auto"/>
          <w:szCs w:val="21"/>
        </w:rPr>
        <w:t>、</w:t>
      </w:r>
      <w:r>
        <w:rPr>
          <w:rFonts w:hint="eastAsia" w:ascii="仿宋" w:hAnsi="仿宋" w:eastAsia="仿宋" w:cs="仿宋"/>
          <w:color w:val="auto"/>
          <w:szCs w:val="21"/>
        </w:rPr>
        <w:t>为本采购项目提供整体设计、规范编制或者项目管理、监理、检测等服务的，不得再参加此项目的其他采购活动。</w:t>
      </w:r>
    </w:p>
    <w:p w14:paraId="43F3B3F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highlight w:val="none"/>
          <w:lang w:val="zh-CN"/>
        </w:rPr>
        <w:t>被“信用中国”</w:t>
      </w:r>
      <w:r>
        <w:rPr>
          <w:rFonts w:hint="eastAsia" w:ascii="仿宋" w:hAnsi="仿宋" w:eastAsia="仿宋" w:cs="仿宋"/>
          <w:color w:val="auto"/>
          <w:highlight w:val="none"/>
          <w:lang w:val="en-US" w:eastAsia="zh-CN"/>
        </w:rPr>
        <w:t>网站</w:t>
      </w:r>
      <w:r>
        <w:rPr>
          <w:rFonts w:hint="eastAsia" w:ascii="仿宋" w:hAnsi="仿宋" w:eastAsia="仿宋" w:cs="仿宋"/>
          <w:color w:val="auto"/>
          <w:highlight w:val="none"/>
          <w:lang w:val="zh-CN"/>
        </w:rPr>
        <w:t>列入失信被执行人和重大税收违法案件当事人名单、被“中国采购网”列入采购严重违法失信行为记录名单（处罚期限尚未届满的）</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val="zh-CN"/>
        </w:rPr>
        <w:t>，不得参与本项目的采购活动</w:t>
      </w:r>
      <w:r>
        <w:rPr>
          <w:rFonts w:hint="eastAsia" w:ascii="仿宋" w:hAnsi="仿宋" w:eastAsia="仿宋" w:cs="仿宋"/>
          <w:color w:val="auto"/>
          <w:szCs w:val="21"/>
        </w:rPr>
        <w:t>。</w:t>
      </w:r>
    </w:p>
    <w:p w14:paraId="7EF7F984">
      <w:pPr>
        <w:spacing w:line="360" w:lineRule="auto"/>
        <w:ind w:firstLine="42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zh-CN" w:eastAsia="zh-CN"/>
        </w:rPr>
        <w:t>、联合体响应。本次采购</w:t>
      </w:r>
      <w:r>
        <w:rPr>
          <w:rFonts w:hint="eastAsia" w:ascii="仿宋" w:hAnsi="仿宋" w:eastAsia="仿宋" w:cs="仿宋"/>
          <w:color w:val="auto"/>
          <w:highlight w:val="none"/>
          <w:u w:val="single"/>
          <w:lang w:val="zh-CN" w:eastAsia="zh-CN"/>
        </w:rPr>
        <w:t>不接受</w:t>
      </w:r>
      <w:r>
        <w:rPr>
          <w:rFonts w:hint="eastAsia" w:ascii="仿宋" w:hAnsi="仿宋" w:eastAsia="仿宋" w:cs="仿宋"/>
          <w:color w:val="auto"/>
          <w:highlight w:val="none"/>
          <w:lang w:val="zh-CN" w:eastAsia="zh-CN"/>
        </w:rPr>
        <w:t>联合体响应。</w:t>
      </w:r>
    </w:p>
    <w:p w14:paraId="277B289C">
      <w:pPr>
        <w:spacing w:line="360" w:lineRule="auto"/>
        <w:ind w:firstLine="422" w:firstLineChars="200"/>
        <w:rPr>
          <w:rFonts w:hint="eastAsia" w:ascii="仿宋" w:hAnsi="仿宋" w:eastAsia="仿宋" w:cs="仿宋"/>
          <w:b w:val="0"/>
          <w:bCs w:val="0"/>
          <w:color w:val="auto"/>
          <w:highlight w:val="none"/>
          <w:lang w:val="zh-CN"/>
        </w:rPr>
      </w:pPr>
      <w:bookmarkStart w:id="17" w:name="_Toc25079"/>
      <w:bookmarkStart w:id="18" w:name="_Toc10999"/>
      <w:bookmarkStart w:id="19" w:name="_Toc16063"/>
      <w:bookmarkStart w:id="20" w:name="_Toc19763"/>
      <w:bookmarkStart w:id="21" w:name="_Toc12110"/>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val="zh-CN"/>
        </w:rPr>
        <w:t>、获取文件</w:t>
      </w:r>
      <w:bookmarkEnd w:id="15"/>
      <w:bookmarkEnd w:id="16"/>
      <w:bookmarkEnd w:id="17"/>
      <w:bookmarkEnd w:id="18"/>
      <w:bookmarkEnd w:id="19"/>
      <w:bookmarkEnd w:id="20"/>
      <w:bookmarkEnd w:id="21"/>
      <w:bookmarkStart w:id="22" w:name="_Toc16283"/>
      <w:bookmarkStart w:id="23" w:name="_Toc12919"/>
      <w:bookmarkStart w:id="24" w:name="_Toc509"/>
      <w:r>
        <w:rPr>
          <w:rFonts w:hint="eastAsia" w:ascii="仿宋" w:hAnsi="仿宋" w:eastAsia="仿宋" w:cs="仿宋"/>
          <w:b/>
          <w:bCs/>
          <w:color w:val="auto"/>
          <w:highlight w:val="none"/>
          <w:lang w:val="zh-CN"/>
        </w:rPr>
        <w:t>：</w:t>
      </w:r>
      <w:r>
        <w:rPr>
          <w:rFonts w:hint="eastAsia" w:ascii="仿宋" w:hAnsi="仿宋" w:eastAsia="仿宋" w:cs="仿宋"/>
          <w:b w:val="0"/>
          <w:bCs w:val="0"/>
          <w:color w:val="auto"/>
          <w:highlight w:val="none"/>
          <w:lang w:val="zh-CN"/>
        </w:rPr>
        <w:t>凡有意参加投标供应商，请于202</w:t>
      </w:r>
      <w:r>
        <w:rPr>
          <w:rFonts w:hint="eastAsia" w:ascii="仿宋" w:hAnsi="仿宋" w:eastAsia="仿宋" w:cs="仿宋"/>
          <w:b w:val="0"/>
          <w:bCs w:val="0"/>
          <w:color w:val="auto"/>
          <w:highlight w:val="none"/>
          <w:lang w:val="en-US" w:eastAsia="zh-CN"/>
        </w:rPr>
        <w:t>5</w:t>
      </w:r>
      <w:r>
        <w:rPr>
          <w:rFonts w:hint="eastAsia" w:ascii="仿宋" w:hAnsi="仿宋" w:eastAsia="仿宋" w:cs="仿宋"/>
          <w:b w:val="0"/>
          <w:bCs w:val="0"/>
          <w:color w:val="auto"/>
          <w:highlight w:val="none"/>
          <w:lang w:val="zh-CN"/>
        </w:rPr>
        <w:t>年</w:t>
      </w:r>
      <w:r>
        <w:rPr>
          <w:rFonts w:hint="eastAsia" w:ascii="仿宋" w:hAnsi="仿宋" w:eastAsia="仿宋" w:cs="仿宋"/>
          <w:b w:val="0"/>
          <w:bCs w:val="0"/>
          <w:color w:val="auto"/>
          <w:highlight w:val="none"/>
          <w:lang w:val="en-US" w:eastAsia="zh-CN"/>
        </w:rPr>
        <w:t>6</w:t>
      </w:r>
      <w:r>
        <w:rPr>
          <w:rFonts w:hint="eastAsia" w:ascii="仿宋" w:hAnsi="仿宋" w:eastAsia="仿宋" w:cs="仿宋"/>
          <w:b w:val="0"/>
          <w:bCs w:val="0"/>
          <w:color w:val="auto"/>
          <w:highlight w:val="none"/>
          <w:lang w:val="zh-CN"/>
        </w:rPr>
        <w:t>月</w:t>
      </w:r>
      <w:r>
        <w:rPr>
          <w:rFonts w:hint="eastAsia" w:ascii="仿宋" w:hAnsi="仿宋" w:eastAsia="仿宋" w:cs="仿宋"/>
          <w:b w:val="0"/>
          <w:bCs w:val="0"/>
          <w:color w:val="auto"/>
          <w:highlight w:val="none"/>
          <w:lang w:val="en-US" w:eastAsia="zh-CN"/>
        </w:rPr>
        <w:t>16</w:t>
      </w:r>
      <w:r>
        <w:rPr>
          <w:rFonts w:hint="eastAsia" w:ascii="仿宋" w:hAnsi="仿宋" w:eastAsia="仿宋" w:cs="仿宋"/>
          <w:b w:val="0"/>
          <w:bCs w:val="0"/>
          <w:color w:val="auto"/>
          <w:highlight w:val="none"/>
          <w:lang w:val="zh-CN"/>
        </w:rPr>
        <w:t>日至202</w:t>
      </w:r>
      <w:r>
        <w:rPr>
          <w:rFonts w:hint="eastAsia" w:ascii="仿宋" w:hAnsi="仿宋" w:eastAsia="仿宋" w:cs="仿宋"/>
          <w:b w:val="0"/>
          <w:bCs w:val="0"/>
          <w:color w:val="auto"/>
          <w:highlight w:val="none"/>
          <w:lang w:val="en-US" w:eastAsia="zh-CN"/>
        </w:rPr>
        <w:t>5</w:t>
      </w:r>
      <w:r>
        <w:rPr>
          <w:rFonts w:hint="eastAsia" w:ascii="仿宋" w:hAnsi="仿宋" w:eastAsia="仿宋" w:cs="仿宋"/>
          <w:b w:val="0"/>
          <w:bCs w:val="0"/>
          <w:color w:val="auto"/>
          <w:highlight w:val="none"/>
          <w:lang w:val="zh-CN"/>
        </w:rPr>
        <w:t>年</w:t>
      </w:r>
      <w:r>
        <w:rPr>
          <w:rFonts w:hint="eastAsia" w:ascii="仿宋" w:hAnsi="仿宋" w:eastAsia="仿宋" w:cs="仿宋"/>
          <w:b w:val="0"/>
          <w:bCs w:val="0"/>
          <w:color w:val="auto"/>
          <w:highlight w:val="none"/>
          <w:lang w:val="en-US" w:eastAsia="zh-CN"/>
        </w:rPr>
        <w:t>6</w:t>
      </w:r>
      <w:r>
        <w:rPr>
          <w:rFonts w:hint="eastAsia" w:ascii="仿宋" w:hAnsi="仿宋" w:eastAsia="仿宋" w:cs="仿宋"/>
          <w:b w:val="0"/>
          <w:bCs w:val="0"/>
          <w:color w:val="auto"/>
          <w:highlight w:val="none"/>
          <w:lang w:val="zh-CN"/>
        </w:rPr>
        <w:t>月</w:t>
      </w:r>
      <w:r>
        <w:rPr>
          <w:rFonts w:hint="eastAsia" w:ascii="仿宋" w:hAnsi="仿宋" w:eastAsia="仿宋" w:cs="仿宋"/>
          <w:b w:val="0"/>
          <w:bCs w:val="0"/>
          <w:color w:val="auto"/>
          <w:highlight w:val="none"/>
          <w:lang w:val="en-US" w:eastAsia="zh-CN"/>
        </w:rPr>
        <w:t>23</w:t>
      </w:r>
      <w:r>
        <w:rPr>
          <w:rFonts w:hint="eastAsia" w:ascii="仿宋" w:hAnsi="仿宋" w:eastAsia="仿宋" w:cs="仿宋"/>
          <w:b w:val="0"/>
          <w:bCs w:val="0"/>
          <w:color w:val="auto"/>
          <w:highlight w:val="none"/>
          <w:lang w:val="zh-CN"/>
        </w:rPr>
        <w:t>日</w:t>
      </w:r>
      <w:r>
        <w:rPr>
          <w:rFonts w:hint="eastAsia" w:ascii="仿宋" w:hAnsi="仿宋" w:eastAsia="仿宋" w:cs="仿宋"/>
          <w:b w:val="0"/>
          <w:bCs w:val="0"/>
          <w:color w:val="auto"/>
          <w:highlight w:val="none"/>
          <w:lang w:val="en-US" w:eastAsia="zh-CN"/>
        </w:rPr>
        <w:t>9:00-</w:t>
      </w:r>
      <w:r>
        <w:rPr>
          <w:rFonts w:hint="eastAsia" w:ascii="仿宋" w:hAnsi="仿宋" w:eastAsia="仿宋" w:cs="仿宋"/>
          <w:b w:val="0"/>
          <w:bCs w:val="0"/>
          <w:color w:val="auto"/>
          <w:highlight w:val="none"/>
          <w:lang w:val="zh-CN"/>
        </w:rPr>
        <w:t>17:30时止(北京时间),登录</w:t>
      </w:r>
      <w:r>
        <w:rPr>
          <w:rFonts w:hint="eastAsia" w:ascii="仿宋" w:hAnsi="仿宋" w:eastAsia="仿宋" w:cs="仿宋"/>
          <w:b w:val="0"/>
          <w:bCs w:val="0"/>
          <w:color w:val="auto"/>
          <w:highlight w:val="none"/>
          <w:lang w:val="zh-CN" w:eastAsia="zh-CN"/>
        </w:rPr>
        <w:t>湘西土家族苗族自治州粮食和物资储备局（http://lshwzcbj.xxz.gov.cn/）</w:t>
      </w:r>
      <w:r>
        <w:rPr>
          <w:rFonts w:hint="eastAsia" w:ascii="仿宋" w:hAnsi="仿宋" w:eastAsia="仿宋" w:cs="仿宋"/>
          <w:b w:val="0"/>
          <w:bCs w:val="0"/>
          <w:color w:val="auto"/>
          <w:highlight w:val="none"/>
          <w:lang w:val="zh-CN"/>
        </w:rPr>
        <w:t>查看采购公告，并持法人证明或授权委托书、营业执照、资质证书于湘西鑫诚工程管理咨询有限公司（吉首市镇溪办事处文艺路15号）获取文件。</w:t>
      </w:r>
    </w:p>
    <w:p w14:paraId="2AD9425A">
      <w:pPr>
        <w:spacing w:line="360" w:lineRule="auto"/>
        <w:ind w:firstLine="420" w:firstLineChars="200"/>
        <w:rPr>
          <w:rFonts w:hint="eastAsia" w:ascii="Times New Roman" w:eastAsia="宋体"/>
          <w:color w:val="auto"/>
          <w:lang w:eastAsia="zh-CN"/>
        </w:rPr>
      </w:pP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lang w:val="zh-CN" w:eastAsia="zh-CN"/>
        </w:rPr>
        <w:t>文件每套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eastAsia="zh-CN"/>
        </w:rPr>
        <w:t>00元，售后不退。</w:t>
      </w:r>
      <w:r>
        <w:rPr>
          <w:rFonts w:hint="eastAsia" w:ascii="仿宋" w:hAnsi="仿宋" w:eastAsia="仿宋" w:cs="仿宋"/>
          <w:color w:val="auto"/>
          <w:highlight w:val="none"/>
          <w:lang w:val="en-US" w:eastAsia="zh-CN"/>
        </w:rPr>
        <w:t>获取采购</w:t>
      </w:r>
      <w:r>
        <w:rPr>
          <w:rFonts w:hint="eastAsia" w:ascii="仿宋" w:hAnsi="仿宋" w:eastAsia="仿宋" w:cs="仿宋"/>
          <w:color w:val="auto"/>
          <w:highlight w:val="none"/>
          <w:lang w:val="zh-CN" w:eastAsia="zh-CN"/>
        </w:rPr>
        <w:t>文件时现金缴纳。</w:t>
      </w:r>
    </w:p>
    <w:p w14:paraId="2F844CB9">
      <w:pPr>
        <w:adjustRightInd w:val="0"/>
        <w:snapToGrid w:val="0"/>
        <w:spacing w:line="360" w:lineRule="auto"/>
        <w:ind w:firstLine="422" w:firstLineChars="200"/>
        <w:outlineLvl w:val="1"/>
        <w:rPr>
          <w:rFonts w:hint="eastAsia" w:ascii="仿宋" w:hAnsi="仿宋" w:eastAsia="仿宋" w:cs="仿宋"/>
          <w:b/>
          <w:color w:val="auto"/>
          <w:szCs w:val="21"/>
        </w:rPr>
      </w:pPr>
      <w:r>
        <w:rPr>
          <w:rFonts w:hint="eastAsia" w:ascii="仿宋" w:hAnsi="仿宋" w:eastAsia="仿宋" w:cs="仿宋"/>
          <w:b/>
          <w:color w:val="auto"/>
          <w:szCs w:val="21"/>
          <w:lang w:val="en-US" w:eastAsia="zh-CN"/>
        </w:rPr>
        <w:t>五</w:t>
      </w:r>
      <w:r>
        <w:rPr>
          <w:rFonts w:hint="eastAsia" w:ascii="仿宋" w:hAnsi="仿宋" w:eastAsia="仿宋" w:cs="仿宋"/>
          <w:b/>
          <w:color w:val="auto"/>
          <w:szCs w:val="21"/>
        </w:rPr>
        <w:t>、投标截止时间、开标时间及地点</w:t>
      </w:r>
      <w:bookmarkEnd w:id="22"/>
      <w:bookmarkEnd w:id="23"/>
      <w:bookmarkEnd w:id="24"/>
    </w:p>
    <w:p w14:paraId="185AF2FE">
      <w:pPr>
        <w:spacing w:line="360" w:lineRule="auto"/>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提交首次响应文件的截止时间：2025</w:t>
      </w:r>
      <w:r>
        <w:rPr>
          <w:rFonts w:hint="eastAsia" w:ascii="仿宋" w:hAnsi="仿宋" w:eastAsia="仿宋" w:cs="仿宋"/>
          <w:color w:val="auto"/>
          <w:szCs w:val="21"/>
          <w:highlight w:val="none"/>
          <w:lang w:val="en-US" w:eastAsia="zh-CN"/>
        </w:rPr>
        <w:t>年6月27日</w:t>
      </w:r>
      <w:r>
        <w:rPr>
          <w:rFonts w:hint="eastAsia" w:ascii="仿宋" w:hAnsi="仿宋" w:eastAsia="仿宋" w:cs="仿宋"/>
          <w:color w:val="auto"/>
          <w:szCs w:val="21"/>
          <w:lang w:val="en-US" w:eastAsia="zh-CN"/>
        </w:rPr>
        <w:t>9时30分（北京时间）</w:t>
      </w:r>
    </w:p>
    <w:p w14:paraId="623C2A33">
      <w:pPr>
        <w:spacing w:line="36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提交首次响应文件的地点： </w:t>
      </w:r>
      <w:r>
        <w:rPr>
          <w:rFonts w:hint="eastAsia" w:ascii="仿宋" w:hAnsi="仿宋" w:eastAsia="仿宋" w:cs="仿宋"/>
          <w:color w:val="auto"/>
          <w:szCs w:val="21"/>
          <w:lang w:eastAsia="zh-CN"/>
        </w:rPr>
        <w:t>湘西鑫诚工程管理咨询有限公司</w:t>
      </w:r>
      <w:r>
        <w:rPr>
          <w:rFonts w:hint="eastAsia" w:ascii="仿宋" w:hAnsi="仿宋" w:eastAsia="仿宋" w:cs="仿宋"/>
          <w:color w:val="auto"/>
          <w:szCs w:val="21"/>
          <w:lang w:val="en-US" w:eastAsia="zh-CN"/>
        </w:rPr>
        <w:t>五楼会议室</w:t>
      </w:r>
    </w:p>
    <w:p w14:paraId="1BF3CFFD">
      <w:pPr>
        <w:spacing w:line="360" w:lineRule="auto"/>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首次响应文件开启时间：2025年</w:t>
      </w:r>
      <w:r>
        <w:rPr>
          <w:rFonts w:hint="eastAsia" w:ascii="仿宋" w:hAnsi="仿宋" w:eastAsia="仿宋" w:cs="仿宋"/>
          <w:color w:val="auto"/>
          <w:szCs w:val="21"/>
          <w:highlight w:val="none"/>
          <w:lang w:val="en-US" w:eastAsia="zh-CN"/>
        </w:rPr>
        <w:t>6月27日</w:t>
      </w:r>
      <w:r>
        <w:rPr>
          <w:rFonts w:hint="eastAsia" w:ascii="仿宋" w:hAnsi="仿宋" w:eastAsia="仿宋" w:cs="仿宋"/>
          <w:color w:val="auto"/>
          <w:szCs w:val="21"/>
          <w:lang w:val="en-US" w:eastAsia="zh-CN"/>
        </w:rPr>
        <w:t>9时30分（北京时间）</w:t>
      </w:r>
    </w:p>
    <w:p w14:paraId="0D67CF87">
      <w:pPr>
        <w:spacing w:line="36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首次响应文件开启地点： </w:t>
      </w:r>
      <w:r>
        <w:rPr>
          <w:rFonts w:hint="eastAsia" w:ascii="仿宋" w:hAnsi="仿宋" w:eastAsia="仿宋" w:cs="仿宋"/>
          <w:color w:val="auto"/>
          <w:szCs w:val="21"/>
          <w:lang w:eastAsia="zh-CN"/>
        </w:rPr>
        <w:t>湘西鑫诚工程管理咨询有限公司</w:t>
      </w:r>
      <w:r>
        <w:rPr>
          <w:rFonts w:hint="eastAsia" w:ascii="仿宋" w:hAnsi="仿宋" w:eastAsia="仿宋" w:cs="仿宋"/>
          <w:color w:val="auto"/>
          <w:szCs w:val="21"/>
          <w:lang w:val="en-US" w:eastAsia="zh-CN"/>
        </w:rPr>
        <w:t>五楼会议室</w:t>
      </w:r>
      <w:bookmarkStart w:id="25" w:name="_Toc29688"/>
      <w:bookmarkStart w:id="26" w:name="_Toc29849"/>
      <w:bookmarkStart w:id="27" w:name="_Toc8903"/>
      <w:bookmarkStart w:id="28" w:name="_Toc32025"/>
      <w:bookmarkStart w:id="29" w:name="_Toc27495"/>
    </w:p>
    <w:p w14:paraId="795A600A">
      <w:pPr>
        <w:spacing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六</w:t>
      </w:r>
      <w:r>
        <w:rPr>
          <w:rFonts w:hint="eastAsia" w:ascii="仿宋" w:hAnsi="仿宋" w:eastAsia="仿宋" w:cs="仿宋"/>
          <w:b/>
          <w:bCs/>
          <w:color w:val="auto"/>
          <w:sz w:val="21"/>
          <w:szCs w:val="21"/>
        </w:rPr>
        <w:t>、公告期限</w:t>
      </w:r>
      <w:bookmarkEnd w:id="25"/>
      <w:bookmarkEnd w:id="26"/>
      <w:bookmarkEnd w:id="27"/>
      <w:bookmarkEnd w:id="28"/>
      <w:bookmarkEnd w:id="29"/>
    </w:p>
    <w:p w14:paraId="1EB278D9">
      <w:pPr>
        <w:pStyle w:val="3"/>
        <w:ind w:firstLine="420" w:firstLineChars="200"/>
        <w:rPr>
          <w:rFonts w:hint="eastAsia" w:ascii="仿宋" w:hAnsi="仿宋" w:eastAsia="仿宋" w:cs="仿宋"/>
          <w:b w:val="0"/>
          <w:bCs w:val="0"/>
          <w:color w:val="auto"/>
          <w:kern w:val="0"/>
          <w:sz w:val="21"/>
          <w:szCs w:val="21"/>
          <w:lang w:val="en-US" w:eastAsia="zh-CN" w:bidi="ar"/>
        </w:rPr>
      </w:pPr>
      <w:bookmarkStart w:id="30" w:name="_Toc30320"/>
      <w:bookmarkStart w:id="31" w:name="_Toc35393804"/>
      <w:bookmarkStart w:id="32" w:name="_Toc26747"/>
      <w:bookmarkStart w:id="33" w:name="_Toc35393635"/>
      <w:bookmarkStart w:id="34" w:name="_Toc21786"/>
      <w:bookmarkStart w:id="35" w:name="_Toc21836"/>
      <w:bookmarkStart w:id="36" w:name="_Toc19027"/>
      <w:r>
        <w:rPr>
          <w:rFonts w:hint="eastAsia" w:ascii="仿宋" w:hAnsi="仿宋" w:eastAsia="仿宋" w:cs="仿宋"/>
          <w:b w:val="0"/>
          <w:bCs w:val="0"/>
          <w:color w:val="auto"/>
          <w:kern w:val="0"/>
          <w:sz w:val="21"/>
          <w:szCs w:val="21"/>
          <w:lang w:val="en-US" w:eastAsia="zh-CN" w:bidi="ar"/>
        </w:rPr>
        <w:t>公告期限从本招标公告发布之日起5个工作日。</w:t>
      </w:r>
    </w:p>
    <w:p w14:paraId="3F8418A9">
      <w:pPr>
        <w:pStyle w:val="3"/>
        <w:numPr>
          <w:ilvl w:val="0"/>
          <w:numId w:val="0"/>
        </w:numPr>
        <w:ind w:firstLine="422" w:firstLineChars="200"/>
        <w:rPr>
          <w:rFonts w:hint="eastAsia" w:ascii="仿宋" w:hAnsi="仿宋" w:eastAsia="仿宋" w:cs="仿宋"/>
          <w:bCs w:val="0"/>
          <w:color w:val="auto"/>
          <w:sz w:val="21"/>
          <w:szCs w:val="21"/>
        </w:rPr>
      </w:pPr>
      <w:r>
        <w:rPr>
          <w:rFonts w:hint="eastAsia" w:ascii="仿宋" w:hAnsi="仿宋" w:eastAsia="仿宋" w:cs="仿宋"/>
          <w:bCs w:val="0"/>
          <w:color w:val="auto"/>
          <w:sz w:val="21"/>
          <w:szCs w:val="21"/>
          <w:lang w:val="en-US" w:eastAsia="zh-CN"/>
        </w:rPr>
        <w:t>七</w:t>
      </w:r>
      <w:r>
        <w:rPr>
          <w:rFonts w:hint="eastAsia" w:ascii="仿宋" w:hAnsi="仿宋" w:eastAsia="仿宋" w:cs="仿宋"/>
          <w:bCs w:val="0"/>
          <w:color w:val="auto"/>
          <w:sz w:val="21"/>
          <w:szCs w:val="21"/>
        </w:rPr>
        <w:t>、其他补充事宜</w:t>
      </w:r>
      <w:bookmarkEnd w:id="30"/>
      <w:bookmarkEnd w:id="31"/>
      <w:bookmarkEnd w:id="32"/>
      <w:bookmarkEnd w:id="33"/>
      <w:bookmarkEnd w:id="34"/>
      <w:bookmarkEnd w:id="35"/>
      <w:bookmarkEnd w:id="36"/>
    </w:p>
    <w:p w14:paraId="7E6BAA5E">
      <w:pPr>
        <w:pStyle w:val="11"/>
        <w:spacing w:after="0" w:line="360" w:lineRule="auto"/>
        <w:ind w:firstLine="422" w:firstLineChars="200"/>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1、投标保证金：本项目不收取投标保证金。</w:t>
      </w:r>
    </w:p>
    <w:p w14:paraId="38ACDA6D">
      <w:pPr>
        <w:spacing w:line="360" w:lineRule="auto"/>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2、询问及质疑</w:t>
      </w:r>
    </w:p>
    <w:p w14:paraId="0F17D4B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（1）供应商对</w:t>
      </w:r>
      <w:r>
        <w:rPr>
          <w:rFonts w:hint="eastAsia" w:ascii="仿宋" w:hAnsi="仿宋" w:eastAsia="仿宋" w:cs="仿宋"/>
          <w:color w:val="auto"/>
          <w:szCs w:val="21"/>
          <w:lang w:eastAsia="zh-CN"/>
        </w:rPr>
        <w:t>采购</w:t>
      </w:r>
      <w:r>
        <w:rPr>
          <w:rFonts w:hint="eastAsia" w:ascii="仿宋" w:hAnsi="仿宋" w:eastAsia="仿宋" w:cs="仿宋"/>
          <w:color w:val="auto"/>
          <w:szCs w:val="21"/>
        </w:rPr>
        <w:t>活动事项如有疑问的，可以向采购人、采购代理机构提出询问。采购人、采购代理机构将在3个工作日内作出答复。</w:t>
      </w:r>
    </w:p>
    <w:p w14:paraId="50A3695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（2）供应商认为文件使自己的合法权益受到损害的，可以在获取文件之日起7个工作日内，按《湖南省财政厅关于印发＜</w:t>
      </w:r>
      <w:r>
        <w:rPr>
          <w:rFonts w:hint="eastAsia" w:ascii="仿宋" w:hAnsi="仿宋" w:eastAsia="仿宋" w:cs="仿宋"/>
          <w:color w:val="auto"/>
          <w:szCs w:val="21"/>
          <w:lang w:val="en-US" w:eastAsia="zh-CN"/>
        </w:rPr>
        <w:t>政府</w:t>
      </w:r>
      <w:r>
        <w:rPr>
          <w:rFonts w:hint="eastAsia" w:ascii="仿宋" w:hAnsi="仿宋" w:eastAsia="仿宋" w:cs="仿宋"/>
          <w:color w:val="auto"/>
          <w:szCs w:val="21"/>
          <w:lang w:eastAsia="zh-CN"/>
        </w:rPr>
        <w:t>采购</w:t>
      </w:r>
      <w:r>
        <w:rPr>
          <w:rFonts w:hint="eastAsia" w:ascii="仿宋" w:hAnsi="仿宋" w:eastAsia="仿宋" w:cs="仿宋"/>
          <w:color w:val="auto"/>
          <w:szCs w:val="21"/>
        </w:rPr>
        <w:t>质疑答复和投诉处理操作规程＞的通知》(湘财购〔2019〕20号)规定，以书面形式向</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人、采购代理机构一次性提出针对同一采购程序环节的质疑。</w:t>
      </w:r>
    </w:p>
    <w:p w14:paraId="394A45F2">
      <w:pPr>
        <w:pStyle w:val="3"/>
        <w:rPr>
          <w:rFonts w:hint="eastAsia" w:ascii="仿宋" w:hAnsi="仿宋" w:eastAsia="仿宋" w:cs="仿宋"/>
          <w:bCs w:val="0"/>
          <w:color w:val="auto"/>
          <w:sz w:val="21"/>
          <w:szCs w:val="21"/>
        </w:rPr>
      </w:pPr>
      <w:bookmarkStart w:id="37" w:name="_Toc23925"/>
      <w:bookmarkStart w:id="38" w:name="_Toc16085"/>
      <w:bookmarkStart w:id="39" w:name="_Toc8237"/>
      <w:bookmarkStart w:id="40" w:name="_Toc22049"/>
      <w:bookmarkStart w:id="41" w:name="_Toc30542"/>
      <w:r>
        <w:rPr>
          <w:rFonts w:hint="eastAsia" w:ascii="仿宋" w:hAnsi="仿宋" w:eastAsia="仿宋" w:cs="仿宋"/>
          <w:bCs w:val="0"/>
          <w:color w:val="auto"/>
          <w:sz w:val="21"/>
          <w:szCs w:val="21"/>
          <w:lang w:val="en-US" w:eastAsia="zh-CN"/>
        </w:rPr>
        <w:t>八</w:t>
      </w:r>
      <w:r>
        <w:rPr>
          <w:rFonts w:hint="eastAsia" w:ascii="仿宋" w:hAnsi="仿宋" w:eastAsia="仿宋" w:cs="仿宋"/>
          <w:bCs w:val="0"/>
          <w:color w:val="auto"/>
          <w:sz w:val="21"/>
          <w:szCs w:val="21"/>
        </w:rPr>
        <w:t>、凡对本次采购提出询问，请按以下方式联系</w:t>
      </w:r>
      <w:bookmarkEnd w:id="37"/>
      <w:bookmarkEnd w:id="38"/>
      <w:bookmarkEnd w:id="39"/>
      <w:bookmarkEnd w:id="40"/>
      <w:bookmarkEnd w:id="41"/>
    </w:p>
    <w:p w14:paraId="2EBA5681">
      <w:pPr>
        <w:spacing w:line="240" w:lineRule="auto"/>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1.采购人信息</w:t>
      </w:r>
    </w:p>
    <w:p w14:paraId="40800F2D">
      <w:pPr>
        <w:spacing w:line="24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采 购 人：湘西湘谷粮油发展有限公司 </w:t>
      </w:r>
    </w:p>
    <w:p w14:paraId="4A864AC9">
      <w:pPr>
        <w:spacing w:line="24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联 系 人：胡先生   </w:t>
      </w:r>
    </w:p>
    <w:p w14:paraId="7C35C9B4">
      <w:pPr>
        <w:spacing w:line="240" w:lineRule="auto"/>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电    话：18974373761</w:t>
      </w:r>
    </w:p>
    <w:p w14:paraId="4C7B5CFA">
      <w:pPr>
        <w:spacing w:line="24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地    址：湖南省吉首市乾州街道东一环（南）28号（景天检车对面） </w:t>
      </w:r>
    </w:p>
    <w:p w14:paraId="57EBAFAD">
      <w:pPr>
        <w:spacing w:line="240" w:lineRule="auto"/>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2.采购代理机构信息</w:t>
      </w:r>
    </w:p>
    <w:p w14:paraId="3B81D249">
      <w:pPr>
        <w:spacing w:line="24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采购代理机构： 湘西鑫诚工程管理咨询有限公司 </w:t>
      </w:r>
    </w:p>
    <w:p w14:paraId="30D458C9">
      <w:pPr>
        <w:spacing w:line="24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联 系 人： 杨德才  谭锋 </w:t>
      </w:r>
    </w:p>
    <w:p w14:paraId="459181F6">
      <w:pPr>
        <w:spacing w:line="24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电    话：15576924281   18207438408 </w:t>
      </w:r>
    </w:p>
    <w:p w14:paraId="0D483B5C">
      <w:pPr>
        <w:spacing w:line="24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地    址：湖南省吉首市镇溪办事处文艺路15号</w:t>
      </w:r>
    </w:p>
    <w:p w14:paraId="6ED15DBE">
      <w:pPr>
        <w:spacing w:line="360" w:lineRule="auto"/>
        <w:jc w:val="left"/>
        <w:rPr>
          <w:rFonts w:hint="eastAsia" w:ascii="宋体" w:hAnsi="宋体"/>
          <w:color w:val="auto"/>
          <w:kern w:val="0"/>
          <w:sz w:val="24"/>
          <w:szCs w:val="21"/>
          <w:lang w:val="en-US" w:eastAsia="zh-CN"/>
        </w:rPr>
      </w:pPr>
      <w:r>
        <w:rPr>
          <w:rFonts w:hint="eastAsia" w:ascii="仿宋" w:hAnsi="仿宋" w:eastAsia="仿宋" w:cs="仿宋"/>
          <w:color w:val="auto"/>
          <w:szCs w:val="21"/>
          <w:lang w:val="en-US" w:eastAsia="zh-CN"/>
        </w:rPr>
        <w:t xml:space="preserve"> </w:t>
      </w:r>
      <w:r>
        <w:rPr>
          <w:rFonts w:hint="eastAsia" w:ascii="宋体" w:hAnsi="宋体"/>
          <w:color w:val="auto"/>
          <w:kern w:val="0"/>
          <w:sz w:val="24"/>
          <w:szCs w:val="21"/>
          <w:lang w:val="en-US" w:eastAsia="zh-CN"/>
        </w:rPr>
        <w:t xml:space="preserve"> </w:t>
      </w:r>
    </w:p>
    <w:p w14:paraId="379F6C0F">
      <w:pPr>
        <w:spacing w:line="360" w:lineRule="auto"/>
        <w:jc w:val="left"/>
        <w:rPr>
          <w:rFonts w:hint="eastAsia" w:ascii="宋体" w:hAnsi="宋体"/>
          <w:color w:val="auto"/>
          <w:kern w:val="0"/>
          <w:sz w:val="24"/>
          <w:szCs w:val="21"/>
          <w:lang w:val="en-US" w:eastAsia="zh-CN"/>
        </w:rPr>
      </w:pPr>
    </w:p>
    <w:p w14:paraId="4D1D78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kern w:val="1"/>
          <w:sz w:val="32"/>
          <w:szCs w:val="32"/>
        </w:rPr>
      </w:pPr>
      <w:bookmarkStart w:id="42" w:name="_Toc18422"/>
      <w:bookmarkStart w:id="43" w:name="_Toc29389"/>
      <w:bookmarkStart w:id="44" w:name="_Toc28345"/>
      <w:bookmarkStart w:id="45" w:name="_Toc2655"/>
      <w:bookmarkStart w:id="46" w:name="_Toc10367"/>
      <w:r>
        <w:rPr>
          <w:rFonts w:hint="eastAsia" w:ascii="仿宋" w:hAnsi="仿宋" w:eastAsia="仿宋" w:cs="仿宋"/>
          <w:b/>
          <w:color w:val="auto"/>
          <w:kern w:val="1"/>
          <w:sz w:val="32"/>
          <w:szCs w:val="32"/>
        </w:rPr>
        <w:t xml:space="preserve">第二章 </w:t>
      </w:r>
      <w:r>
        <w:rPr>
          <w:rFonts w:hint="eastAsia" w:ascii="仿宋" w:hAnsi="仿宋" w:eastAsia="仿宋" w:cs="仿宋"/>
          <w:b/>
          <w:color w:val="auto"/>
          <w:kern w:val="1"/>
          <w:sz w:val="32"/>
          <w:szCs w:val="32"/>
          <w:lang w:val="en-US" w:eastAsia="zh-CN"/>
        </w:rPr>
        <w:t>供应商</w:t>
      </w:r>
      <w:r>
        <w:rPr>
          <w:rFonts w:hint="eastAsia" w:ascii="仿宋" w:hAnsi="仿宋" w:eastAsia="仿宋" w:cs="仿宋"/>
          <w:b/>
          <w:color w:val="auto"/>
          <w:kern w:val="1"/>
          <w:sz w:val="32"/>
          <w:szCs w:val="32"/>
        </w:rPr>
        <w:t>须知</w:t>
      </w:r>
      <w:bookmarkEnd w:id="42"/>
      <w:bookmarkEnd w:id="43"/>
      <w:bookmarkEnd w:id="44"/>
      <w:bookmarkEnd w:id="45"/>
      <w:bookmarkEnd w:id="46"/>
    </w:p>
    <w:p w14:paraId="48E88DF8">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8"/>
          <w:szCs w:val="28"/>
        </w:rPr>
      </w:pPr>
      <w:bookmarkStart w:id="47" w:name="_Toc8039"/>
      <w:bookmarkStart w:id="48" w:name="_Toc16470"/>
      <w:bookmarkStart w:id="49" w:name="_Toc11938"/>
      <w:bookmarkStart w:id="50" w:name="_Toc8592"/>
      <w:bookmarkStart w:id="51" w:name="_Toc13012"/>
      <w:r>
        <w:rPr>
          <w:rFonts w:hint="eastAsia" w:ascii="仿宋" w:hAnsi="仿宋" w:eastAsia="仿宋" w:cs="仿宋"/>
          <w:b/>
          <w:color w:val="auto"/>
          <w:sz w:val="28"/>
          <w:szCs w:val="28"/>
        </w:rPr>
        <w:t>第一节 须知前附表</w:t>
      </w:r>
      <w:bookmarkEnd w:id="47"/>
      <w:bookmarkEnd w:id="48"/>
      <w:bookmarkEnd w:id="49"/>
      <w:bookmarkEnd w:id="50"/>
      <w:bookmarkEnd w:id="51"/>
    </w:p>
    <w:p w14:paraId="050398EA">
      <w:pPr>
        <w:pStyle w:val="16"/>
        <w:spacing w:line="380" w:lineRule="exact"/>
        <w:jc w:val="left"/>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rPr>
        <w:t>注：1、本项目启用的条款在“编列内容规定”栏内以“■”标注。</w:t>
      </w:r>
    </w:p>
    <w:p w14:paraId="63CBB13F">
      <w:pPr>
        <w:pStyle w:val="16"/>
        <w:spacing w:line="380" w:lineRule="exact"/>
        <w:ind w:firstLine="422" w:firstLineChars="200"/>
        <w:jc w:val="left"/>
        <w:rPr>
          <w:rFonts w:hint="eastAsia" w:ascii="仿宋" w:hAnsi="仿宋" w:eastAsia="仿宋" w:cs="仿宋"/>
          <w:b/>
          <w:color w:val="auto"/>
          <w:sz w:val="30"/>
          <w:szCs w:val="30"/>
          <w:highlight w:val="yellow"/>
        </w:rPr>
      </w:pPr>
      <w:r>
        <w:rPr>
          <w:rFonts w:hint="eastAsia" w:ascii="仿宋" w:hAnsi="仿宋" w:eastAsia="仿宋" w:cs="仿宋"/>
          <w:b/>
          <w:bCs/>
          <w:color w:val="auto"/>
          <w:kern w:val="1"/>
          <w:sz w:val="21"/>
          <w:szCs w:val="21"/>
        </w:rPr>
        <w:t>2、当须知前附表与</w:t>
      </w:r>
      <w:r>
        <w:rPr>
          <w:rFonts w:hint="eastAsia" w:ascii="仿宋" w:hAnsi="仿宋" w:eastAsia="仿宋" w:cs="仿宋"/>
          <w:b/>
          <w:bCs/>
          <w:color w:val="auto"/>
          <w:kern w:val="1"/>
          <w:sz w:val="21"/>
          <w:szCs w:val="21"/>
          <w:lang w:val="en-US" w:eastAsia="zh-CN"/>
        </w:rPr>
        <w:t>供应商</w:t>
      </w:r>
      <w:r>
        <w:rPr>
          <w:rFonts w:hint="eastAsia" w:ascii="仿宋" w:hAnsi="仿宋" w:eastAsia="仿宋" w:cs="仿宋"/>
          <w:b/>
          <w:bCs/>
          <w:color w:val="auto"/>
          <w:kern w:val="1"/>
          <w:sz w:val="21"/>
          <w:szCs w:val="21"/>
        </w:rPr>
        <w:t>须知正文不一致时，</w:t>
      </w:r>
      <w:r>
        <w:rPr>
          <w:rFonts w:hint="eastAsia" w:ascii="仿宋" w:hAnsi="仿宋" w:eastAsia="仿宋" w:cs="仿宋"/>
          <w:b/>
          <w:bCs/>
          <w:color w:val="auto"/>
          <w:kern w:val="1"/>
          <w:sz w:val="21"/>
          <w:szCs w:val="21"/>
          <w:highlight w:val="none"/>
        </w:rPr>
        <w:t>以须知前附表</w:t>
      </w:r>
      <w:r>
        <w:rPr>
          <w:rFonts w:hint="eastAsia" w:ascii="仿宋" w:hAnsi="仿宋" w:eastAsia="仿宋" w:cs="仿宋"/>
          <w:b/>
          <w:bCs/>
          <w:color w:val="auto"/>
          <w:kern w:val="1"/>
          <w:sz w:val="21"/>
          <w:szCs w:val="21"/>
          <w:highlight w:val="none"/>
          <w:lang w:eastAsia="zh-CN"/>
        </w:rPr>
        <w:t>为</w:t>
      </w:r>
      <w:r>
        <w:rPr>
          <w:rFonts w:hint="eastAsia" w:ascii="仿宋" w:hAnsi="仿宋" w:eastAsia="仿宋" w:cs="仿宋"/>
          <w:b/>
          <w:bCs/>
          <w:color w:val="auto"/>
          <w:kern w:val="1"/>
          <w:sz w:val="21"/>
          <w:szCs w:val="21"/>
          <w:highlight w:val="none"/>
        </w:rPr>
        <w:t>准。</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4"/>
        <w:gridCol w:w="1797"/>
        <w:gridCol w:w="5840"/>
      </w:tblGrid>
      <w:tr w14:paraId="36F8D3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1594" w:type="dxa"/>
            <w:vAlign w:val="center"/>
          </w:tcPr>
          <w:p w14:paraId="6089E8DF">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条款号</w:t>
            </w:r>
          </w:p>
        </w:tc>
        <w:tc>
          <w:tcPr>
            <w:tcW w:w="1797" w:type="dxa"/>
            <w:vAlign w:val="center"/>
          </w:tcPr>
          <w:p w14:paraId="4D5FC6BE">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条款名称</w:t>
            </w:r>
          </w:p>
        </w:tc>
        <w:tc>
          <w:tcPr>
            <w:tcW w:w="5840" w:type="dxa"/>
            <w:vAlign w:val="center"/>
          </w:tcPr>
          <w:p w14:paraId="38A9E310">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编列内容规定</w:t>
            </w:r>
          </w:p>
        </w:tc>
      </w:tr>
      <w:tr w14:paraId="47763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31" w:type="dxa"/>
            <w:gridSpan w:val="3"/>
            <w:vAlign w:val="center"/>
          </w:tcPr>
          <w:p w14:paraId="16B73E58">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一、说明</w:t>
            </w:r>
          </w:p>
        </w:tc>
      </w:tr>
      <w:tr w14:paraId="1CA61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1594" w:type="dxa"/>
            <w:vAlign w:val="center"/>
          </w:tcPr>
          <w:p w14:paraId="6E550AF0">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第二章</w:t>
            </w:r>
          </w:p>
          <w:p w14:paraId="6CE0283E">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第1.1款</w:t>
            </w:r>
          </w:p>
        </w:tc>
        <w:tc>
          <w:tcPr>
            <w:tcW w:w="1797" w:type="dxa"/>
            <w:vAlign w:val="center"/>
          </w:tcPr>
          <w:p w14:paraId="0A69ACF0">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采购项目</w:t>
            </w:r>
          </w:p>
        </w:tc>
        <w:tc>
          <w:tcPr>
            <w:tcW w:w="5840" w:type="dxa"/>
            <w:vAlign w:val="center"/>
          </w:tcPr>
          <w:p w14:paraId="7001252A">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b/>
                <w:bCs/>
                <w:color w:val="auto"/>
                <w:kern w:val="1"/>
                <w:sz w:val="21"/>
                <w:szCs w:val="21"/>
                <w:lang w:eastAsia="zh-CN"/>
              </w:rPr>
            </w:pPr>
            <w:r>
              <w:rPr>
                <w:rFonts w:hint="eastAsia" w:ascii="仿宋" w:hAnsi="仿宋" w:eastAsia="仿宋" w:cs="仿宋"/>
                <w:b/>
                <w:bCs/>
                <w:color w:val="auto"/>
                <w:kern w:val="1"/>
                <w:sz w:val="21"/>
                <w:szCs w:val="21"/>
                <w:lang w:val="en-US" w:eastAsia="zh-CN"/>
              </w:rPr>
              <w:t>湘西湘谷粮油发展有限公司绿色储粮（保温气密性）改造工程</w:t>
            </w:r>
          </w:p>
        </w:tc>
      </w:tr>
      <w:tr w14:paraId="6CCC3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6" w:hRule="atLeast"/>
          <w:jc w:val="center"/>
        </w:trPr>
        <w:tc>
          <w:tcPr>
            <w:tcW w:w="1594" w:type="dxa"/>
            <w:vAlign w:val="center"/>
          </w:tcPr>
          <w:p w14:paraId="19C92260">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第二章</w:t>
            </w:r>
          </w:p>
          <w:p w14:paraId="5C95FE75">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第2.1款</w:t>
            </w:r>
          </w:p>
        </w:tc>
        <w:tc>
          <w:tcPr>
            <w:tcW w:w="1797" w:type="dxa"/>
            <w:vAlign w:val="center"/>
          </w:tcPr>
          <w:p w14:paraId="6F95E478">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采购人</w:t>
            </w:r>
          </w:p>
        </w:tc>
        <w:tc>
          <w:tcPr>
            <w:tcW w:w="5840" w:type="dxa"/>
            <w:vAlign w:val="center"/>
          </w:tcPr>
          <w:p w14:paraId="1AB320F5">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kern w:val="1"/>
                <w:sz w:val="21"/>
                <w:szCs w:val="21"/>
                <w:lang w:val="en-US" w:eastAsia="zh-CN"/>
              </w:rPr>
              <w:t xml:space="preserve">采 购 人：湘西湘谷粮油发展有限公司 </w:t>
            </w:r>
          </w:p>
          <w:p w14:paraId="273321FB">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kern w:val="1"/>
                <w:sz w:val="21"/>
                <w:szCs w:val="21"/>
                <w:lang w:val="en-US" w:eastAsia="zh-CN"/>
              </w:rPr>
              <w:t>联 系 人：胡先生   </w:t>
            </w:r>
          </w:p>
          <w:p w14:paraId="76929E09">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kern w:val="1"/>
                <w:sz w:val="21"/>
                <w:szCs w:val="21"/>
                <w:lang w:val="en-US" w:eastAsia="zh-CN"/>
              </w:rPr>
              <w:t>电    话：18974373761</w:t>
            </w:r>
          </w:p>
          <w:p w14:paraId="006E9638">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lang w:val="en-US" w:eastAsia="zh-CN"/>
              </w:rPr>
              <w:t>地    址： 湖南省吉首市乾州街道东一环（南）28号（景天检车对面）</w:t>
            </w:r>
          </w:p>
        </w:tc>
      </w:tr>
      <w:tr w14:paraId="077181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1" w:hRule="atLeast"/>
          <w:jc w:val="center"/>
        </w:trPr>
        <w:tc>
          <w:tcPr>
            <w:tcW w:w="1594" w:type="dxa"/>
            <w:vAlign w:val="center"/>
          </w:tcPr>
          <w:p w14:paraId="75B31392">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第二章</w:t>
            </w:r>
          </w:p>
          <w:p w14:paraId="15A27B30">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第2.2款</w:t>
            </w:r>
          </w:p>
        </w:tc>
        <w:tc>
          <w:tcPr>
            <w:tcW w:w="1797" w:type="dxa"/>
            <w:vAlign w:val="center"/>
          </w:tcPr>
          <w:p w14:paraId="2F90869E">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采购代理机构</w:t>
            </w:r>
          </w:p>
        </w:tc>
        <w:tc>
          <w:tcPr>
            <w:tcW w:w="5840" w:type="dxa"/>
            <w:vAlign w:val="center"/>
          </w:tcPr>
          <w:p w14:paraId="311F48F2">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kern w:val="1"/>
                <w:sz w:val="21"/>
                <w:szCs w:val="21"/>
                <w:lang w:val="en-US" w:eastAsia="zh-CN"/>
              </w:rPr>
              <w:t xml:space="preserve">采购代理机构： 湘西鑫诚工程管理咨询有限公司 </w:t>
            </w:r>
          </w:p>
          <w:p w14:paraId="2F1F1648">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kern w:val="1"/>
                <w:sz w:val="21"/>
                <w:szCs w:val="21"/>
                <w:lang w:val="en-US" w:eastAsia="zh-CN"/>
              </w:rPr>
              <w:t xml:space="preserve">联 系 人：杨德才  谭锋 </w:t>
            </w:r>
          </w:p>
          <w:p w14:paraId="31F84982">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kern w:val="1"/>
                <w:sz w:val="21"/>
                <w:szCs w:val="21"/>
                <w:lang w:val="en-US" w:eastAsia="zh-CN"/>
              </w:rPr>
              <w:t xml:space="preserve">电    话：15576924281   18207438408 </w:t>
            </w:r>
          </w:p>
          <w:p w14:paraId="01876E19">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lang w:eastAsia="zh-CN"/>
              </w:rPr>
            </w:pPr>
            <w:r>
              <w:rPr>
                <w:rFonts w:hint="eastAsia" w:ascii="仿宋" w:hAnsi="仿宋" w:eastAsia="仿宋" w:cs="仿宋"/>
                <w:color w:val="auto"/>
                <w:kern w:val="1"/>
                <w:sz w:val="21"/>
                <w:szCs w:val="21"/>
                <w:lang w:val="en-US" w:eastAsia="zh-CN"/>
              </w:rPr>
              <w:t>地    址：湖南省吉首市镇溪办事处文艺路15号</w:t>
            </w:r>
          </w:p>
        </w:tc>
      </w:tr>
      <w:tr w14:paraId="3C592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1594" w:type="dxa"/>
            <w:vAlign w:val="center"/>
          </w:tcPr>
          <w:p w14:paraId="52972E60">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第二章</w:t>
            </w:r>
          </w:p>
          <w:p w14:paraId="06DA495D">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第2.3款</w:t>
            </w:r>
          </w:p>
        </w:tc>
        <w:tc>
          <w:tcPr>
            <w:tcW w:w="1797" w:type="dxa"/>
            <w:vAlign w:val="center"/>
          </w:tcPr>
          <w:p w14:paraId="133EE9E5">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供应商的</w:t>
            </w:r>
          </w:p>
          <w:p w14:paraId="3FCA198F">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邀请方式</w:t>
            </w:r>
          </w:p>
        </w:tc>
        <w:tc>
          <w:tcPr>
            <w:tcW w:w="5840" w:type="dxa"/>
            <w:vAlign w:val="center"/>
          </w:tcPr>
          <w:p w14:paraId="25AE67D0">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w:t>
            </w:r>
            <w:r>
              <w:rPr>
                <w:rFonts w:hint="eastAsia" w:ascii="仿宋" w:hAnsi="仿宋" w:eastAsia="仿宋" w:cs="仿宋"/>
                <w:color w:val="auto"/>
                <w:szCs w:val="21"/>
              </w:rPr>
              <w:t>发布公告</w:t>
            </w:r>
          </w:p>
          <w:p w14:paraId="6475D92D">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sz w:val="21"/>
                <w:szCs w:val="21"/>
              </w:rPr>
            </w:pPr>
            <w:r>
              <w:rPr>
                <w:rFonts w:hint="eastAsia" w:ascii="仿宋" w:hAnsi="仿宋" w:eastAsia="仿宋" w:cs="仿宋"/>
                <w:color w:val="auto"/>
                <w:szCs w:val="21"/>
                <w:lang w:eastAsia="zh-CN"/>
              </w:rPr>
              <w:t>□</w:t>
            </w:r>
            <w:r>
              <w:rPr>
                <w:rFonts w:hint="eastAsia" w:ascii="仿宋" w:hAnsi="仿宋" w:eastAsia="仿宋" w:cs="仿宋"/>
                <w:color w:val="auto"/>
                <w:szCs w:val="21"/>
              </w:rPr>
              <w:t>邀请函邀请</w:t>
            </w:r>
          </w:p>
        </w:tc>
      </w:tr>
      <w:tr w14:paraId="37E6A1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7122E609">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1CBB91B9">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第3.1款</w:t>
            </w:r>
          </w:p>
        </w:tc>
        <w:tc>
          <w:tcPr>
            <w:tcW w:w="1797" w:type="dxa"/>
            <w:vAlign w:val="center"/>
          </w:tcPr>
          <w:p w14:paraId="1A1F7643">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供应商资格条件</w:t>
            </w:r>
          </w:p>
        </w:tc>
        <w:tc>
          <w:tcPr>
            <w:tcW w:w="5840" w:type="dxa"/>
            <w:vAlign w:val="center"/>
          </w:tcPr>
          <w:p w14:paraId="2A816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仿宋" w:hAnsi="仿宋" w:eastAsia="仿宋" w:cs="仿宋"/>
                <w:color w:val="auto"/>
                <w:sz w:val="21"/>
                <w:szCs w:val="21"/>
              </w:rPr>
            </w:pPr>
            <w:r>
              <w:rPr>
                <w:rFonts w:hint="eastAsia" w:ascii="仿宋" w:hAnsi="仿宋" w:eastAsia="仿宋" w:cs="仿宋"/>
                <w:b/>
                <w:bCs/>
                <w:color w:val="auto"/>
                <w:kern w:val="1"/>
                <w:sz w:val="21"/>
                <w:szCs w:val="21"/>
              </w:rPr>
              <w:t>见文件第一章第</w:t>
            </w:r>
            <w:r>
              <w:rPr>
                <w:rFonts w:hint="eastAsia" w:ascii="仿宋" w:hAnsi="仿宋" w:eastAsia="仿宋" w:cs="仿宋"/>
                <w:b/>
                <w:bCs/>
                <w:color w:val="auto"/>
                <w:kern w:val="1"/>
                <w:sz w:val="21"/>
                <w:szCs w:val="21"/>
                <w:lang w:val="en-US" w:eastAsia="zh-CN"/>
              </w:rPr>
              <w:t>三</w:t>
            </w:r>
            <w:r>
              <w:rPr>
                <w:rFonts w:hint="eastAsia" w:ascii="仿宋" w:hAnsi="仿宋" w:eastAsia="仿宋" w:cs="仿宋"/>
                <w:b/>
                <w:bCs/>
                <w:color w:val="auto"/>
                <w:kern w:val="1"/>
                <w:sz w:val="21"/>
                <w:szCs w:val="21"/>
              </w:rPr>
              <w:t>条</w:t>
            </w:r>
          </w:p>
        </w:tc>
      </w:tr>
      <w:tr w14:paraId="3AB895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24CB0F50">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0F728EDE">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第6.1款</w:t>
            </w:r>
          </w:p>
        </w:tc>
        <w:tc>
          <w:tcPr>
            <w:tcW w:w="1797" w:type="dxa"/>
            <w:vAlign w:val="center"/>
          </w:tcPr>
          <w:p w14:paraId="7A18C7D5">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联合体形式</w:t>
            </w:r>
          </w:p>
        </w:tc>
        <w:tc>
          <w:tcPr>
            <w:tcW w:w="5840" w:type="dxa"/>
            <w:vAlign w:val="center"/>
          </w:tcPr>
          <w:p w14:paraId="6CB67BC9">
            <w:pPr>
              <w:keepNext w:val="0"/>
              <w:keepLines w:val="0"/>
              <w:pageBreakBefore w:val="0"/>
              <w:kinsoku/>
              <w:overflowPunct/>
              <w:topLinePunct w:val="0"/>
              <w:autoSpaceDE/>
              <w:autoSpaceDN/>
              <w:bidi w:val="0"/>
              <w:spacing w:line="380" w:lineRule="exact"/>
              <w:jc w:val="both"/>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■不接受</w:t>
            </w:r>
          </w:p>
          <w:p w14:paraId="416DDE25">
            <w:pPr>
              <w:keepNext w:val="0"/>
              <w:keepLines w:val="0"/>
              <w:pageBreakBefore w:val="0"/>
              <w:kinsoku/>
              <w:overflowPunct/>
              <w:topLinePunct w:val="0"/>
              <w:autoSpaceDE/>
              <w:autoSpaceDN/>
              <w:bidi w:val="0"/>
              <w:spacing w:line="380" w:lineRule="exact"/>
              <w:jc w:val="both"/>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□接受</w:t>
            </w:r>
          </w:p>
        </w:tc>
      </w:tr>
      <w:tr w14:paraId="59235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2B654E88">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128214B4">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第6.2（3）款</w:t>
            </w:r>
          </w:p>
        </w:tc>
        <w:tc>
          <w:tcPr>
            <w:tcW w:w="1797" w:type="dxa"/>
            <w:vAlign w:val="center"/>
          </w:tcPr>
          <w:p w14:paraId="228B8B70">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对联合体各</w:t>
            </w:r>
          </w:p>
          <w:p w14:paraId="614A6B2C">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方的要求</w:t>
            </w:r>
          </w:p>
        </w:tc>
        <w:tc>
          <w:tcPr>
            <w:tcW w:w="5840" w:type="dxa"/>
            <w:vAlign w:val="center"/>
          </w:tcPr>
          <w:p w14:paraId="077D70A0">
            <w:pPr>
              <w:keepNext w:val="0"/>
              <w:keepLines w:val="0"/>
              <w:pageBreakBefore w:val="0"/>
              <w:kinsoku/>
              <w:overflowPunct/>
              <w:topLinePunct w:val="0"/>
              <w:autoSpaceDE/>
              <w:autoSpaceDN/>
              <w:bidi w:val="0"/>
              <w:spacing w:line="380" w:lineRule="exact"/>
              <w:jc w:val="both"/>
              <w:textAlignment w:val="auto"/>
              <w:rPr>
                <w:rFonts w:hint="eastAsia" w:ascii="仿宋" w:hAnsi="仿宋" w:eastAsia="仿宋" w:cs="仿宋"/>
                <w:color w:val="auto"/>
                <w:kern w:val="1"/>
                <w:sz w:val="21"/>
                <w:szCs w:val="21"/>
              </w:rPr>
            </w:pPr>
            <w:r>
              <w:rPr>
                <w:rFonts w:hint="eastAsia" w:ascii="仿宋" w:hAnsi="仿宋" w:eastAsia="仿宋" w:cs="仿宋"/>
                <w:color w:val="auto"/>
                <w:sz w:val="21"/>
                <w:szCs w:val="21"/>
              </w:rPr>
              <w:t>/</w:t>
            </w:r>
          </w:p>
        </w:tc>
      </w:tr>
      <w:tr w14:paraId="3F824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3871C8A1">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671604AD">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第7.1款</w:t>
            </w:r>
          </w:p>
        </w:tc>
        <w:tc>
          <w:tcPr>
            <w:tcW w:w="1797" w:type="dxa"/>
            <w:vAlign w:val="center"/>
          </w:tcPr>
          <w:p w14:paraId="5976FC9D">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现场勘察</w:t>
            </w:r>
          </w:p>
        </w:tc>
        <w:tc>
          <w:tcPr>
            <w:tcW w:w="5840" w:type="dxa"/>
            <w:vAlign w:val="center"/>
          </w:tcPr>
          <w:p w14:paraId="295B6C9B">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■采购人不组织，供应商可自行勘察现场。</w:t>
            </w:r>
          </w:p>
          <w:p w14:paraId="0285C3F0">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□采购人组织，时间：</w:t>
            </w:r>
            <w:r>
              <w:rPr>
                <w:rFonts w:hint="eastAsia" w:ascii="仿宋" w:hAnsi="仿宋" w:eastAsia="仿宋" w:cs="仿宋"/>
                <w:color w:val="auto"/>
                <w:kern w:val="1"/>
                <w:sz w:val="21"/>
                <w:szCs w:val="21"/>
                <w:u w:val="single"/>
              </w:rPr>
              <w:t xml:space="preserve">   </w:t>
            </w:r>
            <w:r>
              <w:rPr>
                <w:rFonts w:hint="eastAsia" w:ascii="仿宋" w:hAnsi="仿宋" w:eastAsia="仿宋" w:cs="仿宋"/>
                <w:color w:val="auto"/>
                <w:kern w:val="1"/>
                <w:sz w:val="21"/>
                <w:szCs w:val="21"/>
              </w:rPr>
              <w:t>地点：</w:t>
            </w:r>
            <w:r>
              <w:rPr>
                <w:rFonts w:hint="eastAsia" w:ascii="仿宋" w:hAnsi="仿宋" w:eastAsia="仿宋" w:cs="仿宋"/>
                <w:color w:val="auto"/>
                <w:kern w:val="1"/>
                <w:sz w:val="21"/>
                <w:szCs w:val="21"/>
                <w:u w:val="single"/>
              </w:rPr>
              <w:t xml:space="preserve">   </w:t>
            </w:r>
            <w:r>
              <w:rPr>
                <w:rFonts w:hint="eastAsia" w:ascii="仿宋" w:hAnsi="仿宋" w:eastAsia="仿宋" w:cs="仿宋"/>
                <w:color w:val="auto"/>
                <w:kern w:val="1"/>
                <w:sz w:val="21"/>
                <w:szCs w:val="21"/>
              </w:rPr>
              <w:t>联系人：</w:t>
            </w:r>
            <w:r>
              <w:rPr>
                <w:rFonts w:hint="eastAsia" w:ascii="仿宋" w:hAnsi="仿宋" w:eastAsia="仿宋" w:cs="仿宋"/>
                <w:color w:val="auto"/>
                <w:kern w:val="1"/>
                <w:sz w:val="21"/>
                <w:szCs w:val="21"/>
                <w:u w:val="single"/>
              </w:rPr>
              <w:t xml:space="preserve">   </w:t>
            </w:r>
          </w:p>
        </w:tc>
      </w:tr>
      <w:tr w14:paraId="744EC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2FECC827">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66ABCA9C">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第8.1款</w:t>
            </w:r>
          </w:p>
        </w:tc>
        <w:tc>
          <w:tcPr>
            <w:tcW w:w="1797" w:type="dxa"/>
            <w:vAlign w:val="center"/>
          </w:tcPr>
          <w:p w14:paraId="4D8E71D2">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采购进口产品</w:t>
            </w:r>
          </w:p>
        </w:tc>
        <w:tc>
          <w:tcPr>
            <w:tcW w:w="5840" w:type="dxa"/>
            <w:vAlign w:val="center"/>
          </w:tcPr>
          <w:p w14:paraId="4555D347">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仿宋" w:hAnsi="仿宋" w:eastAsia="仿宋" w:cs="仿宋"/>
                <w:color w:val="auto"/>
                <w:kern w:val="1"/>
                <w:sz w:val="21"/>
                <w:szCs w:val="21"/>
                <w:lang w:val="en-US" w:eastAsia="zh-CN" w:bidi="ar-SA"/>
              </w:rPr>
            </w:pPr>
            <w:r>
              <w:rPr>
                <w:rFonts w:hint="eastAsia" w:ascii="仿宋" w:hAnsi="仿宋" w:eastAsia="仿宋" w:cs="仿宋"/>
                <w:color w:val="auto"/>
                <w:kern w:val="1"/>
                <w:sz w:val="21"/>
                <w:szCs w:val="21"/>
                <w:lang w:val="en-US" w:eastAsia="zh-CN"/>
              </w:rPr>
              <w:t>本项目不适用</w:t>
            </w:r>
          </w:p>
        </w:tc>
      </w:tr>
      <w:tr w14:paraId="5676EA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31" w:type="dxa"/>
            <w:gridSpan w:val="3"/>
            <w:vAlign w:val="center"/>
          </w:tcPr>
          <w:p w14:paraId="1A3CD9C8">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b/>
                <w:color w:val="auto"/>
                <w:kern w:val="1"/>
                <w:sz w:val="21"/>
                <w:szCs w:val="21"/>
              </w:rPr>
              <w:t>二、</w:t>
            </w:r>
            <w:r>
              <w:rPr>
                <w:rFonts w:hint="eastAsia" w:ascii="仿宋" w:hAnsi="仿宋" w:eastAsia="仿宋" w:cs="仿宋"/>
                <w:b/>
                <w:color w:val="auto"/>
                <w:kern w:val="1"/>
                <w:sz w:val="21"/>
                <w:szCs w:val="21"/>
                <w:lang w:val="en-US" w:eastAsia="zh-CN"/>
              </w:rPr>
              <w:t>采购</w:t>
            </w:r>
            <w:r>
              <w:rPr>
                <w:rFonts w:hint="eastAsia" w:ascii="仿宋" w:hAnsi="仿宋" w:eastAsia="仿宋" w:cs="仿宋"/>
                <w:b/>
                <w:color w:val="auto"/>
                <w:kern w:val="1"/>
                <w:sz w:val="21"/>
                <w:szCs w:val="21"/>
              </w:rPr>
              <w:t>文件</w:t>
            </w:r>
          </w:p>
        </w:tc>
      </w:tr>
      <w:tr w14:paraId="3FC9F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6BE70621">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619A4B48">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shd w:val="clear" w:color="auto" w:fill="FF0000"/>
              </w:rPr>
            </w:pPr>
            <w:r>
              <w:rPr>
                <w:rFonts w:hint="eastAsia" w:ascii="仿宋" w:hAnsi="仿宋" w:eastAsia="仿宋" w:cs="仿宋"/>
                <w:color w:val="auto"/>
                <w:kern w:val="1"/>
                <w:sz w:val="21"/>
                <w:szCs w:val="21"/>
              </w:rPr>
              <w:t>第10.3款</w:t>
            </w:r>
          </w:p>
        </w:tc>
        <w:tc>
          <w:tcPr>
            <w:tcW w:w="1797" w:type="dxa"/>
            <w:vAlign w:val="center"/>
          </w:tcPr>
          <w:p w14:paraId="63B760AC">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kern w:val="1"/>
                <w:sz w:val="21"/>
                <w:szCs w:val="21"/>
                <w:highlight w:val="none"/>
                <w:shd w:val="clear" w:color="auto" w:fill="FF0000"/>
              </w:rPr>
            </w:pPr>
            <w:r>
              <w:rPr>
                <w:rFonts w:hint="eastAsia" w:ascii="仿宋" w:hAnsi="仿宋" w:eastAsia="仿宋" w:cs="仿宋"/>
                <w:b/>
                <w:bCs/>
                <w:color w:val="auto"/>
                <w:kern w:val="1"/>
                <w:sz w:val="21"/>
                <w:szCs w:val="21"/>
                <w:highlight w:val="none"/>
                <w:lang w:val="en-US" w:eastAsia="zh-CN"/>
              </w:rPr>
              <w:t>采购</w:t>
            </w:r>
            <w:r>
              <w:rPr>
                <w:rFonts w:hint="eastAsia" w:ascii="仿宋" w:hAnsi="仿宋" w:eastAsia="仿宋" w:cs="仿宋"/>
                <w:b/>
                <w:bCs/>
                <w:color w:val="auto"/>
                <w:kern w:val="1"/>
                <w:sz w:val="21"/>
                <w:szCs w:val="21"/>
                <w:highlight w:val="none"/>
              </w:rPr>
              <w:t>文件的可能实质性变动内容</w:t>
            </w:r>
          </w:p>
        </w:tc>
        <w:tc>
          <w:tcPr>
            <w:tcW w:w="5840" w:type="dxa"/>
            <w:vAlign w:val="center"/>
          </w:tcPr>
          <w:p w14:paraId="186E4B41">
            <w:pPr>
              <w:keepNext w:val="0"/>
              <w:keepLines w:val="0"/>
              <w:pageBreakBefore w:val="0"/>
              <w:kinsoku/>
              <w:overflowPunct/>
              <w:topLinePunct w:val="0"/>
              <w:autoSpaceDE/>
              <w:autoSpaceDN/>
              <w:bidi w:val="0"/>
              <w:spacing w:line="380" w:lineRule="exact"/>
              <w:textAlignment w:val="auto"/>
              <w:rPr>
                <w:rFonts w:hint="default" w:ascii="仿宋" w:hAnsi="仿宋" w:eastAsia="仿宋" w:cs="仿宋"/>
                <w:b/>
                <w:bCs/>
                <w:color w:val="auto"/>
                <w:kern w:val="1"/>
                <w:sz w:val="21"/>
                <w:szCs w:val="21"/>
                <w:highlight w:val="none"/>
                <w:shd w:val="clear" w:color="auto" w:fill="FF0000"/>
                <w:lang w:val="en-US" w:eastAsia="zh-CN"/>
              </w:rPr>
            </w:pPr>
            <w:r>
              <w:rPr>
                <w:rFonts w:hint="eastAsia" w:ascii="仿宋" w:hAnsi="仿宋" w:eastAsia="仿宋" w:cs="仿宋"/>
                <w:color w:val="auto"/>
                <w:sz w:val="21"/>
                <w:szCs w:val="21"/>
                <w:lang w:val="en-US" w:eastAsia="zh-CN"/>
              </w:rPr>
              <w:t>/</w:t>
            </w:r>
          </w:p>
        </w:tc>
      </w:tr>
      <w:tr w14:paraId="4819DA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594" w:type="dxa"/>
            <w:vAlign w:val="center"/>
          </w:tcPr>
          <w:p w14:paraId="7920117B">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3740D84A">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第11.1款</w:t>
            </w:r>
          </w:p>
        </w:tc>
        <w:tc>
          <w:tcPr>
            <w:tcW w:w="1797" w:type="dxa"/>
            <w:vAlign w:val="center"/>
          </w:tcPr>
          <w:p w14:paraId="175AEA08">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rPr>
              <w:t>提供文件</w:t>
            </w:r>
          </w:p>
          <w:p w14:paraId="53E9C0C5">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b/>
                <w:bCs/>
                <w:color w:val="auto"/>
                <w:kern w:val="1"/>
                <w:sz w:val="21"/>
                <w:szCs w:val="21"/>
              </w:rPr>
              <w:t>期限</w:t>
            </w:r>
          </w:p>
        </w:tc>
        <w:tc>
          <w:tcPr>
            <w:tcW w:w="5840" w:type="dxa"/>
            <w:vAlign w:val="center"/>
          </w:tcPr>
          <w:p w14:paraId="123C53C3">
            <w:pPr>
              <w:keepNext w:val="0"/>
              <w:keepLines w:val="0"/>
              <w:pageBreakBefore w:val="0"/>
              <w:kinsoku/>
              <w:overflowPunct/>
              <w:topLinePunct w:val="0"/>
              <w:autoSpaceDE/>
              <w:autoSpaceDN/>
              <w:bidi w:val="0"/>
              <w:spacing w:line="380" w:lineRule="exact"/>
              <w:jc w:val="left"/>
              <w:textAlignment w:val="auto"/>
              <w:rPr>
                <w:rFonts w:hint="eastAsia" w:ascii="仿宋" w:hAnsi="仿宋" w:eastAsia="仿宋" w:cs="仿宋"/>
                <w:color w:val="auto"/>
                <w:kern w:val="1"/>
                <w:sz w:val="21"/>
                <w:szCs w:val="21"/>
              </w:rPr>
            </w:pPr>
            <w:r>
              <w:rPr>
                <w:rFonts w:hint="eastAsia" w:ascii="仿宋" w:hAnsi="仿宋" w:eastAsia="仿宋" w:cs="仿宋"/>
                <w:b/>
                <w:bCs/>
                <w:color w:val="auto"/>
                <w:kern w:val="1"/>
                <w:sz w:val="21"/>
                <w:szCs w:val="21"/>
              </w:rPr>
              <w:t>见文件第一章第</w:t>
            </w:r>
            <w:r>
              <w:rPr>
                <w:rFonts w:hint="eastAsia" w:ascii="仿宋" w:hAnsi="仿宋" w:eastAsia="仿宋" w:cs="仿宋"/>
                <w:b/>
                <w:bCs/>
                <w:color w:val="auto"/>
                <w:kern w:val="1"/>
                <w:sz w:val="21"/>
                <w:szCs w:val="21"/>
                <w:lang w:val="en-US" w:eastAsia="zh-CN"/>
              </w:rPr>
              <w:t>五</w:t>
            </w:r>
            <w:r>
              <w:rPr>
                <w:rFonts w:hint="eastAsia" w:ascii="仿宋" w:hAnsi="仿宋" w:eastAsia="仿宋" w:cs="仿宋"/>
                <w:b/>
                <w:bCs/>
                <w:color w:val="auto"/>
                <w:kern w:val="1"/>
                <w:sz w:val="21"/>
                <w:szCs w:val="21"/>
              </w:rPr>
              <w:t>条</w:t>
            </w:r>
          </w:p>
        </w:tc>
      </w:tr>
      <w:tr w14:paraId="151C7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594" w:type="dxa"/>
            <w:vAlign w:val="center"/>
          </w:tcPr>
          <w:p w14:paraId="4BA3E717">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7A3F4DD3">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第11.2款</w:t>
            </w:r>
          </w:p>
        </w:tc>
        <w:tc>
          <w:tcPr>
            <w:tcW w:w="1797" w:type="dxa"/>
            <w:vAlign w:val="center"/>
          </w:tcPr>
          <w:p w14:paraId="29C9B151">
            <w:pPr>
              <w:keepNext w:val="0"/>
              <w:keepLines w:val="0"/>
              <w:pageBreakBefore w:val="0"/>
              <w:kinsoku/>
              <w:overflowPunct/>
              <w:topLinePunct w:val="0"/>
              <w:autoSpaceDE/>
              <w:autoSpaceDN/>
              <w:bidi w:val="0"/>
              <w:adjustRightInd w:val="0"/>
              <w:snapToGrid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b/>
                <w:bCs/>
                <w:color w:val="auto"/>
                <w:kern w:val="1"/>
                <w:sz w:val="21"/>
                <w:szCs w:val="21"/>
              </w:rPr>
              <w:t>获取</w:t>
            </w:r>
            <w:r>
              <w:rPr>
                <w:rFonts w:hint="eastAsia" w:ascii="仿宋" w:hAnsi="仿宋" w:eastAsia="仿宋" w:cs="仿宋"/>
                <w:b/>
                <w:bCs/>
                <w:color w:val="auto"/>
                <w:kern w:val="1"/>
                <w:sz w:val="21"/>
                <w:szCs w:val="21"/>
                <w:lang w:val="en-US" w:eastAsia="zh-CN"/>
              </w:rPr>
              <w:t>采购文件</w:t>
            </w:r>
            <w:r>
              <w:rPr>
                <w:rFonts w:hint="eastAsia" w:ascii="仿宋" w:hAnsi="仿宋" w:eastAsia="仿宋" w:cs="仿宋"/>
                <w:b/>
                <w:bCs/>
                <w:color w:val="auto"/>
                <w:kern w:val="1"/>
                <w:sz w:val="21"/>
                <w:szCs w:val="21"/>
              </w:rPr>
              <w:t>方式</w:t>
            </w:r>
          </w:p>
        </w:tc>
        <w:tc>
          <w:tcPr>
            <w:tcW w:w="5840" w:type="dxa"/>
            <w:vAlign w:val="center"/>
          </w:tcPr>
          <w:p w14:paraId="53D5F5FA">
            <w:pPr>
              <w:keepNext w:val="0"/>
              <w:keepLines w:val="0"/>
              <w:pageBreakBefore w:val="0"/>
              <w:kinsoku/>
              <w:wordWrap w:val="0"/>
              <w:overflowPunct/>
              <w:topLinePunct w:val="0"/>
              <w:autoSpaceDE/>
              <w:autoSpaceDN/>
              <w:bidi w:val="0"/>
              <w:adjustRightInd w:val="0"/>
              <w:snapToGrid w:val="0"/>
              <w:spacing w:line="380" w:lineRule="exact"/>
              <w:jc w:val="left"/>
              <w:textAlignment w:val="auto"/>
              <w:rPr>
                <w:rFonts w:hint="eastAsia" w:ascii="仿宋" w:hAnsi="仿宋" w:eastAsia="仿宋" w:cs="仿宋"/>
                <w:color w:val="auto"/>
                <w:sz w:val="21"/>
                <w:szCs w:val="21"/>
                <w:u w:val="single"/>
              </w:rPr>
            </w:pPr>
            <w:r>
              <w:rPr>
                <w:rFonts w:hint="eastAsia" w:ascii="仿宋" w:hAnsi="仿宋" w:eastAsia="仿宋" w:cs="仿宋"/>
                <w:b/>
                <w:bCs/>
                <w:color w:val="auto"/>
                <w:kern w:val="1"/>
                <w:sz w:val="21"/>
                <w:szCs w:val="21"/>
              </w:rPr>
              <w:t>见文件第一章第</w:t>
            </w:r>
            <w:r>
              <w:rPr>
                <w:rFonts w:hint="eastAsia" w:ascii="仿宋" w:hAnsi="仿宋" w:eastAsia="仿宋" w:cs="仿宋"/>
                <w:b/>
                <w:bCs/>
                <w:color w:val="auto"/>
                <w:kern w:val="1"/>
                <w:sz w:val="21"/>
                <w:szCs w:val="21"/>
                <w:lang w:val="en-US" w:eastAsia="zh-CN"/>
              </w:rPr>
              <w:t>四</w:t>
            </w:r>
            <w:r>
              <w:rPr>
                <w:rFonts w:hint="eastAsia" w:ascii="仿宋" w:hAnsi="仿宋" w:eastAsia="仿宋" w:cs="仿宋"/>
                <w:b/>
                <w:bCs/>
                <w:color w:val="auto"/>
                <w:kern w:val="1"/>
                <w:sz w:val="21"/>
                <w:szCs w:val="21"/>
              </w:rPr>
              <w:t>条</w:t>
            </w:r>
          </w:p>
        </w:tc>
      </w:tr>
      <w:tr w14:paraId="1361C7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60910BA2">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0940C785">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第12.1款</w:t>
            </w:r>
          </w:p>
        </w:tc>
        <w:tc>
          <w:tcPr>
            <w:tcW w:w="1797" w:type="dxa"/>
            <w:vAlign w:val="center"/>
          </w:tcPr>
          <w:p w14:paraId="27CBA04B">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rPr>
              <w:t>提交首次响应文件的截止时间</w:t>
            </w:r>
          </w:p>
        </w:tc>
        <w:tc>
          <w:tcPr>
            <w:tcW w:w="5840" w:type="dxa"/>
            <w:vAlign w:val="center"/>
          </w:tcPr>
          <w:p w14:paraId="5F75EF4C">
            <w:pPr>
              <w:keepNext w:val="0"/>
              <w:keepLines w:val="0"/>
              <w:pageBreakBefore w:val="0"/>
              <w:kinsoku/>
              <w:overflowPunct/>
              <w:topLinePunct w:val="0"/>
              <w:autoSpaceDE/>
              <w:autoSpaceDN/>
              <w:bidi w:val="0"/>
              <w:spacing w:line="380" w:lineRule="exact"/>
              <w:jc w:val="left"/>
              <w:textAlignment w:val="auto"/>
              <w:rPr>
                <w:rFonts w:hint="eastAsia" w:ascii="仿宋" w:hAnsi="仿宋" w:eastAsia="仿宋" w:cs="仿宋"/>
                <w:b/>
                <w:bCs/>
                <w:color w:val="auto"/>
                <w:kern w:val="1"/>
                <w:sz w:val="21"/>
                <w:szCs w:val="21"/>
                <w:highlight w:val="yellow"/>
              </w:rPr>
            </w:pPr>
            <w:r>
              <w:rPr>
                <w:rFonts w:hint="eastAsia" w:ascii="仿宋" w:hAnsi="仿宋" w:eastAsia="仿宋" w:cs="仿宋"/>
                <w:b/>
                <w:bCs/>
                <w:color w:val="auto"/>
                <w:kern w:val="1"/>
                <w:sz w:val="21"/>
                <w:szCs w:val="21"/>
              </w:rPr>
              <w:t>见文件第一章第</w:t>
            </w:r>
            <w:r>
              <w:rPr>
                <w:rFonts w:hint="eastAsia" w:ascii="仿宋" w:hAnsi="仿宋" w:eastAsia="仿宋" w:cs="仿宋"/>
                <w:b/>
                <w:bCs/>
                <w:color w:val="auto"/>
                <w:kern w:val="1"/>
                <w:sz w:val="21"/>
                <w:szCs w:val="21"/>
                <w:lang w:val="en-US" w:eastAsia="zh-CN"/>
              </w:rPr>
              <w:t>五</w:t>
            </w:r>
            <w:r>
              <w:rPr>
                <w:rFonts w:hint="eastAsia" w:ascii="仿宋" w:hAnsi="仿宋" w:eastAsia="仿宋" w:cs="仿宋"/>
                <w:b/>
                <w:bCs/>
                <w:color w:val="auto"/>
                <w:kern w:val="1"/>
                <w:sz w:val="21"/>
                <w:szCs w:val="21"/>
              </w:rPr>
              <w:t>条</w:t>
            </w:r>
          </w:p>
        </w:tc>
      </w:tr>
      <w:tr w14:paraId="1ECA52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31" w:type="dxa"/>
            <w:gridSpan w:val="3"/>
            <w:vAlign w:val="center"/>
          </w:tcPr>
          <w:p w14:paraId="43D716FD">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b/>
                <w:color w:val="auto"/>
                <w:kern w:val="1"/>
                <w:sz w:val="21"/>
                <w:szCs w:val="21"/>
              </w:rPr>
              <w:t>三、响应文件</w:t>
            </w:r>
          </w:p>
        </w:tc>
      </w:tr>
      <w:tr w14:paraId="0673B1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7048462A">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0595DFD8">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第16.4款</w:t>
            </w:r>
          </w:p>
        </w:tc>
        <w:tc>
          <w:tcPr>
            <w:tcW w:w="1797" w:type="dxa"/>
            <w:vAlign w:val="center"/>
          </w:tcPr>
          <w:p w14:paraId="2C947BDC">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kern w:val="1"/>
                <w:sz w:val="21"/>
                <w:szCs w:val="21"/>
                <w:lang w:val="en-US" w:eastAsia="zh-CN"/>
              </w:rPr>
            </w:pPr>
            <w:r>
              <w:rPr>
                <w:rFonts w:hint="eastAsia" w:ascii="仿宋" w:hAnsi="仿宋" w:eastAsia="仿宋" w:cs="仿宋"/>
                <w:b/>
                <w:bCs/>
                <w:color w:val="auto"/>
                <w:kern w:val="1"/>
                <w:sz w:val="21"/>
                <w:szCs w:val="21"/>
              </w:rPr>
              <w:t>采购项目预算</w:t>
            </w:r>
            <w:r>
              <w:rPr>
                <w:rFonts w:hint="eastAsia" w:ascii="仿宋" w:hAnsi="仿宋" w:eastAsia="仿宋" w:cs="仿宋"/>
                <w:b/>
                <w:bCs/>
                <w:color w:val="auto"/>
                <w:kern w:val="1"/>
                <w:sz w:val="21"/>
                <w:szCs w:val="21"/>
                <w:lang w:eastAsia="zh-CN"/>
              </w:rPr>
              <w:t>、</w:t>
            </w:r>
            <w:r>
              <w:rPr>
                <w:rFonts w:hint="eastAsia" w:ascii="仿宋" w:hAnsi="仿宋" w:eastAsia="仿宋" w:cs="仿宋"/>
                <w:b/>
                <w:bCs/>
                <w:color w:val="auto"/>
                <w:kern w:val="1"/>
                <w:sz w:val="21"/>
                <w:szCs w:val="21"/>
                <w:lang w:val="en-US" w:eastAsia="zh-CN"/>
              </w:rPr>
              <w:t>最高限价</w:t>
            </w:r>
          </w:p>
        </w:tc>
        <w:tc>
          <w:tcPr>
            <w:tcW w:w="5840" w:type="dxa"/>
            <w:vAlign w:val="center"/>
          </w:tcPr>
          <w:p w14:paraId="2D6F7DD9">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最高限价</w:t>
            </w:r>
            <w:r>
              <w:rPr>
                <w:rFonts w:hint="eastAsia" w:ascii="仿宋" w:hAnsi="仿宋" w:eastAsia="仿宋" w:cs="仿宋"/>
                <w:b/>
                <w:bCs/>
                <w:color w:val="auto"/>
                <w:sz w:val="21"/>
                <w:szCs w:val="21"/>
                <w:highlight w:val="none"/>
                <w:lang w:val="en-US" w:eastAsia="zh-CN"/>
              </w:rPr>
              <w:t xml:space="preserve">：2899981.94元     </w:t>
            </w:r>
          </w:p>
          <w:p w14:paraId="7F1C9ED5">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供应商对本项目的投标报价最高不得超过2899981.94元（即不得超过最高限价），否则其投标将被视为无效投标而被拒绝。</w:t>
            </w:r>
          </w:p>
        </w:tc>
      </w:tr>
      <w:tr w14:paraId="0181F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581698D9">
            <w:pPr>
              <w:keepNext w:val="0"/>
              <w:keepLines w:val="0"/>
              <w:pageBreakBefore w:val="0"/>
              <w:kinsoku/>
              <w:overflowPunct/>
              <w:topLinePunct w:val="0"/>
              <w:autoSpaceDE/>
              <w:autoSpaceDN/>
              <w:bidi w:val="0"/>
              <w:adjustRightInd w:val="0"/>
              <w:snapToGrid w:val="0"/>
              <w:spacing w:line="380" w:lineRule="exact"/>
              <w:jc w:val="center"/>
              <w:textAlignment w:val="auto"/>
              <w:rPr>
                <w:rFonts w:hint="eastAsia" w:ascii="仿宋" w:hAnsi="仿宋" w:eastAsia="仿宋" w:cs="仿宋"/>
                <w:b/>
                <w:bCs/>
                <w:color w:val="auto"/>
                <w:kern w:val="1"/>
                <w:sz w:val="21"/>
                <w:szCs w:val="21"/>
                <w:lang w:val="en-US" w:eastAsia="zh-CN"/>
              </w:rPr>
            </w:pPr>
            <w:r>
              <w:rPr>
                <w:rFonts w:hint="eastAsia" w:ascii="仿宋" w:hAnsi="仿宋" w:eastAsia="仿宋" w:cs="仿宋"/>
                <w:b/>
                <w:bCs/>
                <w:color w:val="auto"/>
                <w:kern w:val="1"/>
                <w:sz w:val="21"/>
                <w:szCs w:val="21"/>
                <w:lang w:val="en-US" w:eastAsia="zh-CN"/>
              </w:rPr>
              <w:t>第二章</w:t>
            </w:r>
          </w:p>
          <w:p w14:paraId="640AF255">
            <w:pPr>
              <w:keepNext w:val="0"/>
              <w:keepLines w:val="0"/>
              <w:pageBreakBefore w:val="0"/>
              <w:kinsoku/>
              <w:overflowPunct/>
              <w:topLinePunct w:val="0"/>
              <w:autoSpaceDE/>
              <w:autoSpaceDN/>
              <w:bidi w:val="0"/>
              <w:adjustRightInd w:val="0"/>
              <w:snapToGrid w:val="0"/>
              <w:spacing w:line="380" w:lineRule="exact"/>
              <w:jc w:val="center"/>
              <w:textAlignment w:val="auto"/>
              <w:rPr>
                <w:rFonts w:hint="eastAsia" w:ascii="仿宋" w:hAnsi="仿宋" w:eastAsia="仿宋" w:cs="仿宋"/>
                <w:b/>
                <w:bCs/>
                <w:color w:val="auto"/>
                <w:kern w:val="1"/>
                <w:sz w:val="21"/>
                <w:szCs w:val="21"/>
                <w:lang w:val="en-US" w:eastAsia="zh-CN"/>
              </w:rPr>
            </w:pPr>
            <w:r>
              <w:rPr>
                <w:rFonts w:hint="eastAsia" w:ascii="仿宋" w:hAnsi="仿宋" w:eastAsia="仿宋" w:cs="仿宋"/>
                <w:b/>
                <w:bCs/>
                <w:color w:val="auto"/>
                <w:kern w:val="1"/>
                <w:sz w:val="21"/>
                <w:szCs w:val="21"/>
                <w:lang w:val="en-US" w:eastAsia="zh-CN"/>
              </w:rPr>
              <w:t>第16.5款</w:t>
            </w:r>
          </w:p>
        </w:tc>
        <w:tc>
          <w:tcPr>
            <w:tcW w:w="1797" w:type="dxa"/>
            <w:vAlign w:val="center"/>
          </w:tcPr>
          <w:p w14:paraId="555B5680">
            <w:pPr>
              <w:keepNext w:val="0"/>
              <w:keepLines w:val="0"/>
              <w:pageBreakBefore w:val="0"/>
              <w:kinsoku/>
              <w:overflowPunct/>
              <w:topLinePunct w:val="0"/>
              <w:autoSpaceDE/>
              <w:autoSpaceDN/>
              <w:bidi w:val="0"/>
              <w:adjustRightInd w:val="0"/>
              <w:snapToGrid w:val="0"/>
              <w:spacing w:line="380" w:lineRule="exact"/>
              <w:jc w:val="center"/>
              <w:textAlignment w:val="auto"/>
              <w:rPr>
                <w:rFonts w:hint="eastAsia" w:ascii="仿宋" w:hAnsi="仿宋" w:eastAsia="仿宋" w:cs="仿宋"/>
                <w:b/>
                <w:bCs/>
                <w:color w:val="auto"/>
                <w:kern w:val="1"/>
                <w:sz w:val="21"/>
                <w:szCs w:val="21"/>
                <w:lang w:val="en-US" w:eastAsia="zh-CN"/>
              </w:rPr>
            </w:pPr>
            <w:r>
              <w:rPr>
                <w:rFonts w:hint="eastAsia" w:ascii="仿宋" w:hAnsi="仿宋" w:eastAsia="仿宋" w:cs="仿宋"/>
                <w:b/>
                <w:bCs/>
                <w:color w:val="auto"/>
                <w:kern w:val="1"/>
                <w:sz w:val="21"/>
                <w:szCs w:val="21"/>
                <w:lang w:val="en-US" w:eastAsia="zh-CN"/>
              </w:rPr>
              <w:t xml:space="preserve">报价的其他要求 </w:t>
            </w:r>
          </w:p>
        </w:tc>
        <w:tc>
          <w:tcPr>
            <w:tcW w:w="5840" w:type="dxa"/>
            <w:vAlign w:val="center"/>
          </w:tcPr>
          <w:p w14:paraId="4BF49292">
            <w:pPr>
              <w:keepNext w:val="0"/>
              <w:keepLines w:val="0"/>
              <w:pageBreakBefore w:val="0"/>
              <w:kinsoku/>
              <w:wordWrap w:val="0"/>
              <w:overflowPunct/>
              <w:topLinePunct w:val="0"/>
              <w:autoSpaceDE/>
              <w:autoSpaceDN/>
              <w:bidi w:val="0"/>
              <w:adjustRightInd w:val="0"/>
              <w:snapToGrid w:val="0"/>
              <w:spacing w:line="380" w:lineRule="exact"/>
              <w:jc w:val="left"/>
              <w:textAlignment w:val="auto"/>
              <w:rPr>
                <w:rFonts w:hint="eastAsia" w:ascii="仿宋" w:hAnsi="仿宋" w:eastAsia="仿宋" w:cs="仿宋"/>
                <w:b/>
                <w:bCs/>
                <w:color w:val="auto"/>
                <w:sz w:val="21"/>
                <w:szCs w:val="21"/>
              </w:rPr>
            </w:pPr>
            <w:r>
              <w:rPr>
                <w:rFonts w:hint="eastAsia" w:ascii="仿宋" w:hAnsi="仿宋" w:eastAsia="仿宋" w:cs="仿宋"/>
                <w:b/>
                <w:bCs/>
                <w:color w:val="auto"/>
                <w:kern w:val="1"/>
                <w:sz w:val="21"/>
                <w:szCs w:val="21"/>
                <w:lang w:val="en-US" w:eastAsia="zh-CN"/>
              </w:rPr>
              <w:t xml:space="preserve">在评审过程中采购文件无实质性变动的情况下，参加投标供应商的报价不得高于最高限价,否则报价无效。 </w:t>
            </w:r>
          </w:p>
        </w:tc>
      </w:tr>
      <w:tr w14:paraId="35AC69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94" w:type="dxa"/>
            <w:vAlign w:val="center"/>
          </w:tcPr>
          <w:p w14:paraId="55B665D8">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64E03211">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第19.1款</w:t>
            </w:r>
          </w:p>
        </w:tc>
        <w:tc>
          <w:tcPr>
            <w:tcW w:w="1797" w:type="dxa"/>
            <w:vAlign w:val="center"/>
          </w:tcPr>
          <w:p w14:paraId="521B5EB7">
            <w:pPr>
              <w:keepNext w:val="0"/>
              <w:keepLines w:val="0"/>
              <w:pageBreakBefore w:val="0"/>
              <w:kinsoku/>
              <w:overflowPunct/>
              <w:topLinePunct w:val="0"/>
              <w:autoSpaceDE/>
              <w:autoSpaceDN/>
              <w:bidi w:val="0"/>
              <w:spacing w:line="380" w:lineRule="exact"/>
              <w:ind w:left="-533" w:firstLine="533"/>
              <w:jc w:val="center"/>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lang w:val="en-US" w:eastAsia="zh-CN"/>
              </w:rPr>
              <w:t>投标</w:t>
            </w:r>
            <w:r>
              <w:rPr>
                <w:rFonts w:hint="eastAsia" w:ascii="仿宋" w:hAnsi="仿宋" w:eastAsia="仿宋" w:cs="仿宋"/>
                <w:b/>
                <w:bCs/>
                <w:color w:val="auto"/>
                <w:kern w:val="1"/>
                <w:sz w:val="21"/>
                <w:szCs w:val="21"/>
              </w:rPr>
              <w:t>保证金</w:t>
            </w:r>
          </w:p>
        </w:tc>
        <w:tc>
          <w:tcPr>
            <w:tcW w:w="5840" w:type="dxa"/>
            <w:vAlign w:val="center"/>
          </w:tcPr>
          <w:p w14:paraId="30BDC72A">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rPr>
              <w:t>■不要求提供</w:t>
            </w:r>
          </w:p>
          <w:p w14:paraId="1D63DD5E">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□要求提供</w:t>
            </w:r>
          </w:p>
        </w:tc>
      </w:tr>
      <w:tr w14:paraId="475604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1DB293D4">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29B57FE1">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第20.1款</w:t>
            </w:r>
          </w:p>
        </w:tc>
        <w:tc>
          <w:tcPr>
            <w:tcW w:w="1797" w:type="dxa"/>
            <w:vAlign w:val="center"/>
          </w:tcPr>
          <w:p w14:paraId="0841C536">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rPr>
              <w:t>响应文件有效期</w:t>
            </w:r>
          </w:p>
        </w:tc>
        <w:tc>
          <w:tcPr>
            <w:tcW w:w="5840" w:type="dxa"/>
            <w:vAlign w:val="center"/>
          </w:tcPr>
          <w:p w14:paraId="3E01E149">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lang w:val="en-US" w:eastAsia="zh-CN"/>
              </w:rPr>
              <w:t>9</w:t>
            </w:r>
            <w:r>
              <w:rPr>
                <w:rFonts w:hint="eastAsia" w:ascii="仿宋" w:hAnsi="仿宋" w:eastAsia="仿宋" w:cs="仿宋"/>
                <w:b/>
                <w:bCs/>
                <w:color w:val="auto"/>
                <w:kern w:val="1"/>
                <w:sz w:val="21"/>
                <w:szCs w:val="21"/>
              </w:rPr>
              <w:t>0日（日历日）</w:t>
            </w:r>
          </w:p>
        </w:tc>
      </w:tr>
      <w:tr w14:paraId="73D56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9" w:hRule="atLeast"/>
          <w:jc w:val="center"/>
        </w:trPr>
        <w:tc>
          <w:tcPr>
            <w:tcW w:w="1594" w:type="dxa"/>
            <w:vAlign w:val="center"/>
          </w:tcPr>
          <w:p w14:paraId="0F53B1A6">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4951B88E">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第21.1款</w:t>
            </w:r>
          </w:p>
        </w:tc>
        <w:tc>
          <w:tcPr>
            <w:tcW w:w="1797" w:type="dxa"/>
            <w:vAlign w:val="center"/>
          </w:tcPr>
          <w:p w14:paraId="178B279C">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kern w:val="1"/>
                <w:sz w:val="21"/>
                <w:szCs w:val="21"/>
                <w:highlight w:val="red"/>
              </w:rPr>
            </w:pPr>
            <w:r>
              <w:rPr>
                <w:rFonts w:hint="eastAsia" w:ascii="仿宋" w:hAnsi="仿宋" w:eastAsia="仿宋" w:cs="仿宋"/>
                <w:b/>
                <w:bCs/>
                <w:color w:val="auto"/>
                <w:kern w:val="1"/>
                <w:sz w:val="21"/>
                <w:szCs w:val="21"/>
              </w:rPr>
              <w:t>响应文件份数</w:t>
            </w:r>
          </w:p>
        </w:tc>
        <w:tc>
          <w:tcPr>
            <w:tcW w:w="5840" w:type="dxa"/>
            <w:vAlign w:val="center"/>
          </w:tcPr>
          <w:p w14:paraId="4AF40E34">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叁</w:t>
            </w:r>
            <w:r>
              <w:rPr>
                <w:rFonts w:hint="eastAsia" w:ascii="仿宋" w:hAnsi="仿宋" w:eastAsia="仿宋" w:cs="仿宋"/>
                <w:color w:val="auto"/>
                <w:sz w:val="21"/>
                <w:szCs w:val="21"/>
              </w:rPr>
              <w:t>份（正本一份，副本贰份；电子U盘一份；PDF格式）</w:t>
            </w:r>
          </w:p>
        </w:tc>
      </w:tr>
      <w:tr w14:paraId="1D15F4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31" w:type="dxa"/>
            <w:gridSpan w:val="3"/>
            <w:vAlign w:val="center"/>
          </w:tcPr>
          <w:p w14:paraId="56DD63DC">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b/>
                <w:color w:val="auto"/>
                <w:kern w:val="1"/>
                <w:sz w:val="21"/>
                <w:szCs w:val="21"/>
              </w:rPr>
              <w:t>四、响应文件的递交</w:t>
            </w:r>
          </w:p>
        </w:tc>
      </w:tr>
      <w:tr w14:paraId="51BAB8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4" w:hRule="atLeast"/>
          <w:jc w:val="center"/>
        </w:trPr>
        <w:tc>
          <w:tcPr>
            <w:tcW w:w="1594" w:type="dxa"/>
            <w:vAlign w:val="center"/>
          </w:tcPr>
          <w:p w14:paraId="51821AC9">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634770D5">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第2</w:t>
            </w:r>
            <w:r>
              <w:rPr>
                <w:rFonts w:hint="eastAsia" w:ascii="仿宋" w:hAnsi="仿宋" w:eastAsia="仿宋" w:cs="仿宋"/>
                <w:color w:val="auto"/>
                <w:kern w:val="1"/>
                <w:sz w:val="21"/>
                <w:szCs w:val="21"/>
                <w:lang w:val="en-US" w:eastAsia="zh-CN"/>
              </w:rPr>
              <w:t>2</w:t>
            </w:r>
            <w:r>
              <w:rPr>
                <w:rFonts w:hint="eastAsia" w:ascii="仿宋" w:hAnsi="仿宋" w:eastAsia="仿宋" w:cs="仿宋"/>
                <w:color w:val="auto"/>
                <w:kern w:val="1"/>
                <w:sz w:val="21"/>
                <w:szCs w:val="21"/>
              </w:rPr>
              <w:t>.</w:t>
            </w:r>
            <w:r>
              <w:rPr>
                <w:rFonts w:hint="eastAsia" w:ascii="仿宋" w:hAnsi="仿宋" w:eastAsia="仿宋" w:cs="仿宋"/>
                <w:color w:val="auto"/>
                <w:kern w:val="1"/>
                <w:sz w:val="21"/>
                <w:szCs w:val="21"/>
                <w:lang w:val="en-US" w:eastAsia="zh-CN"/>
              </w:rPr>
              <w:t>2</w:t>
            </w:r>
            <w:r>
              <w:rPr>
                <w:rFonts w:hint="eastAsia" w:ascii="仿宋" w:hAnsi="仿宋" w:eastAsia="仿宋" w:cs="仿宋"/>
                <w:color w:val="auto"/>
                <w:kern w:val="1"/>
                <w:sz w:val="21"/>
                <w:szCs w:val="21"/>
              </w:rPr>
              <w:t>款</w:t>
            </w:r>
          </w:p>
        </w:tc>
        <w:tc>
          <w:tcPr>
            <w:tcW w:w="1797" w:type="dxa"/>
            <w:vAlign w:val="center"/>
          </w:tcPr>
          <w:p w14:paraId="0B07443D">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lang w:val="en-US" w:eastAsia="zh-CN"/>
              </w:rPr>
              <w:t>首次响应文件的提交时间和地点</w:t>
            </w:r>
          </w:p>
        </w:tc>
        <w:tc>
          <w:tcPr>
            <w:tcW w:w="5840" w:type="dxa"/>
            <w:vAlign w:val="center"/>
          </w:tcPr>
          <w:p w14:paraId="3D22D407">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rPr>
              <w:t>见</w:t>
            </w:r>
            <w:r>
              <w:rPr>
                <w:rFonts w:hint="eastAsia" w:ascii="仿宋" w:hAnsi="仿宋" w:eastAsia="仿宋" w:cs="仿宋"/>
                <w:b/>
                <w:bCs/>
                <w:color w:val="auto"/>
                <w:kern w:val="1"/>
                <w:sz w:val="21"/>
                <w:szCs w:val="21"/>
                <w:lang w:val="en-US" w:eastAsia="zh-CN"/>
              </w:rPr>
              <w:t>采购</w:t>
            </w:r>
            <w:r>
              <w:rPr>
                <w:rFonts w:hint="eastAsia" w:ascii="仿宋" w:hAnsi="仿宋" w:eastAsia="仿宋" w:cs="仿宋"/>
                <w:b/>
                <w:bCs/>
                <w:color w:val="auto"/>
                <w:kern w:val="1"/>
                <w:sz w:val="21"/>
                <w:szCs w:val="21"/>
              </w:rPr>
              <w:t>文件第一章第</w:t>
            </w:r>
            <w:r>
              <w:rPr>
                <w:rFonts w:hint="eastAsia" w:ascii="仿宋" w:hAnsi="仿宋" w:eastAsia="仿宋" w:cs="仿宋"/>
                <w:b/>
                <w:bCs/>
                <w:color w:val="auto"/>
                <w:kern w:val="1"/>
                <w:sz w:val="21"/>
                <w:szCs w:val="21"/>
                <w:lang w:val="en-US" w:eastAsia="zh-CN"/>
              </w:rPr>
              <w:t>五</w:t>
            </w:r>
            <w:r>
              <w:rPr>
                <w:rFonts w:hint="eastAsia" w:ascii="仿宋" w:hAnsi="仿宋" w:eastAsia="仿宋" w:cs="仿宋"/>
                <w:b/>
                <w:bCs/>
                <w:color w:val="auto"/>
                <w:kern w:val="1"/>
                <w:sz w:val="21"/>
                <w:szCs w:val="21"/>
              </w:rPr>
              <w:t>条</w:t>
            </w:r>
          </w:p>
        </w:tc>
      </w:tr>
      <w:tr w14:paraId="25D76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31" w:type="dxa"/>
            <w:gridSpan w:val="3"/>
            <w:vAlign w:val="center"/>
          </w:tcPr>
          <w:p w14:paraId="5B030081">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b/>
                <w:color w:val="auto"/>
                <w:kern w:val="1"/>
                <w:sz w:val="21"/>
                <w:szCs w:val="21"/>
              </w:rPr>
              <w:t>五、响应文件的评审</w:t>
            </w:r>
          </w:p>
        </w:tc>
      </w:tr>
      <w:tr w14:paraId="6B046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594" w:type="dxa"/>
            <w:vAlign w:val="center"/>
          </w:tcPr>
          <w:p w14:paraId="23EE0156">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第二章</w:t>
            </w:r>
          </w:p>
          <w:p w14:paraId="7B41F901">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第3</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.2款</w:t>
            </w:r>
          </w:p>
        </w:tc>
        <w:tc>
          <w:tcPr>
            <w:tcW w:w="1797" w:type="dxa"/>
            <w:vAlign w:val="center"/>
          </w:tcPr>
          <w:p w14:paraId="64953E7F">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评审因素和标准</w:t>
            </w:r>
          </w:p>
        </w:tc>
        <w:tc>
          <w:tcPr>
            <w:tcW w:w="5840" w:type="dxa"/>
            <w:vAlign w:val="center"/>
          </w:tcPr>
          <w:p w14:paraId="1423DB46">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rPr>
              <w:t>见附页1</w:t>
            </w:r>
          </w:p>
        </w:tc>
      </w:tr>
      <w:tr w14:paraId="231F73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594" w:type="dxa"/>
            <w:vAlign w:val="center"/>
          </w:tcPr>
          <w:p w14:paraId="1FECBA9B">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06DE0072">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第3</w:t>
            </w:r>
            <w:r>
              <w:rPr>
                <w:rFonts w:hint="eastAsia" w:ascii="仿宋" w:hAnsi="仿宋" w:eastAsia="仿宋" w:cs="仿宋"/>
                <w:color w:val="auto"/>
                <w:kern w:val="1"/>
                <w:sz w:val="21"/>
                <w:szCs w:val="21"/>
                <w:lang w:val="en-US" w:eastAsia="zh-CN"/>
              </w:rPr>
              <w:t>0</w:t>
            </w:r>
            <w:r>
              <w:rPr>
                <w:rFonts w:hint="eastAsia" w:ascii="仿宋" w:hAnsi="仿宋" w:eastAsia="仿宋" w:cs="仿宋"/>
                <w:color w:val="auto"/>
                <w:kern w:val="1"/>
                <w:sz w:val="21"/>
                <w:szCs w:val="21"/>
              </w:rPr>
              <w:t>.5款</w:t>
            </w:r>
          </w:p>
        </w:tc>
        <w:tc>
          <w:tcPr>
            <w:tcW w:w="1797" w:type="dxa"/>
            <w:vAlign w:val="center"/>
          </w:tcPr>
          <w:p w14:paraId="42B4CA57">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技术、商务、价格得分或总得分调整</w:t>
            </w:r>
          </w:p>
        </w:tc>
        <w:tc>
          <w:tcPr>
            <w:tcW w:w="5840" w:type="dxa"/>
            <w:vAlign w:val="center"/>
          </w:tcPr>
          <w:p w14:paraId="7DD5FA66">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b/>
                <w:bCs/>
                <w:color w:val="auto"/>
                <w:kern w:val="0"/>
                <w:sz w:val="21"/>
                <w:szCs w:val="21"/>
                <w:lang w:val="en-US" w:eastAsia="zh-CN"/>
              </w:rPr>
            </w:pPr>
            <w:r>
              <w:rPr>
                <w:rFonts w:hint="eastAsia" w:ascii="仿宋" w:hAnsi="仿宋" w:eastAsia="仿宋" w:cs="仿宋"/>
                <w:color w:val="auto"/>
                <w:sz w:val="21"/>
                <w:szCs w:val="21"/>
                <w:lang w:val="en-US" w:eastAsia="zh-CN"/>
              </w:rPr>
              <w:t>/</w:t>
            </w:r>
          </w:p>
        </w:tc>
      </w:tr>
      <w:tr w14:paraId="0D562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594" w:type="dxa"/>
            <w:vAlign w:val="center"/>
          </w:tcPr>
          <w:p w14:paraId="675D71F5">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kern w:val="1"/>
                <w:sz w:val="21"/>
                <w:szCs w:val="21"/>
                <w:lang w:val="en-US" w:eastAsia="zh-CN"/>
              </w:rPr>
              <w:t>第31.1款</w:t>
            </w:r>
          </w:p>
        </w:tc>
        <w:tc>
          <w:tcPr>
            <w:tcW w:w="1797" w:type="dxa"/>
            <w:vAlign w:val="center"/>
          </w:tcPr>
          <w:p w14:paraId="0E045903">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sz w:val="21"/>
                <w:szCs w:val="21"/>
                <w:highlight w:val="none"/>
                <w:lang w:val="en-US" w:eastAsia="zh-CN"/>
              </w:rPr>
              <w:t>成交候选人并列的</w:t>
            </w:r>
            <w:r>
              <w:rPr>
                <w:rFonts w:hint="eastAsia" w:ascii="仿宋" w:hAnsi="仿宋" w:eastAsia="仿宋" w:cs="仿宋"/>
                <w:color w:val="auto"/>
                <w:sz w:val="21"/>
                <w:szCs w:val="21"/>
                <w:highlight w:val="none"/>
              </w:rPr>
              <w:t>确定</w:t>
            </w:r>
            <w:r>
              <w:rPr>
                <w:rFonts w:hint="eastAsia" w:ascii="仿宋" w:hAnsi="仿宋" w:eastAsia="仿宋" w:cs="仿宋"/>
                <w:color w:val="auto"/>
                <w:sz w:val="21"/>
                <w:szCs w:val="21"/>
                <w:highlight w:val="none"/>
                <w:lang w:val="en-US" w:eastAsia="zh-CN"/>
              </w:rPr>
              <w:t>成交供应商</w:t>
            </w:r>
            <w:r>
              <w:rPr>
                <w:rFonts w:hint="eastAsia" w:ascii="仿宋" w:hAnsi="仿宋" w:eastAsia="仿宋" w:cs="仿宋"/>
                <w:color w:val="auto"/>
                <w:sz w:val="21"/>
                <w:szCs w:val="21"/>
                <w:highlight w:val="none"/>
              </w:rPr>
              <w:t>的方式</w:t>
            </w:r>
          </w:p>
        </w:tc>
        <w:tc>
          <w:tcPr>
            <w:tcW w:w="5840" w:type="dxa"/>
            <w:vAlign w:val="center"/>
          </w:tcPr>
          <w:p w14:paraId="0AAD1775">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在评标报告确定的成交候选人名单中按顺序确定成交供应商（评审得分且报价相同的，按技术部分得分由高到低的顺序排列）。</w:t>
            </w:r>
          </w:p>
        </w:tc>
      </w:tr>
      <w:tr w14:paraId="34D41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9231" w:type="dxa"/>
            <w:gridSpan w:val="3"/>
            <w:vAlign w:val="center"/>
          </w:tcPr>
          <w:p w14:paraId="1D5DA092">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b/>
                <w:color w:val="auto"/>
                <w:kern w:val="1"/>
                <w:sz w:val="21"/>
                <w:szCs w:val="21"/>
              </w:rPr>
              <w:t>六、成交结果信息公布与授予合同</w:t>
            </w:r>
          </w:p>
        </w:tc>
      </w:tr>
      <w:tr w14:paraId="0C01E8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1594" w:type="dxa"/>
            <w:vAlign w:val="center"/>
          </w:tcPr>
          <w:p w14:paraId="331F24FE">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503BF7DA">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第3</w:t>
            </w:r>
            <w:r>
              <w:rPr>
                <w:rFonts w:hint="eastAsia" w:ascii="仿宋" w:hAnsi="仿宋" w:eastAsia="仿宋" w:cs="仿宋"/>
                <w:color w:val="auto"/>
                <w:kern w:val="1"/>
                <w:sz w:val="21"/>
                <w:szCs w:val="21"/>
                <w:lang w:val="en-US" w:eastAsia="zh-CN"/>
              </w:rPr>
              <w:t>6</w:t>
            </w:r>
            <w:r>
              <w:rPr>
                <w:rFonts w:hint="eastAsia" w:ascii="仿宋" w:hAnsi="仿宋" w:eastAsia="仿宋" w:cs="仿宋"/>
                <w:color w:val="auto"/>
                <w:kern w:val="1"/>
                <w:sz w:val="21"/>
                <w:szCs w:val="21"/>
              </w:rPr>
              <w:t>.1款</w:t>
            </w:r>
          </w:p>
        </w:tc>
        <w:tc>
          <w:tcPr>
            <w:tcW w:w="1797" w:type="dxa"/>
            <w:vAlign w:val="center"/>
          </w:tcPr>
          <w:p w14:paraId="4650D3E6">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信息发布媒体</w:t>
            </w:r>
          </w:p>
        </w:tc>
        <w:tc>
          <w:tcPr>
            <w:tcW w:w="5840" w:type="dxa"/>
            <w:vAlign w:val="center"/>
          </w:tcPr>
          <w:p w14:paraId="5E66EB22">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lang w:val="en-US" w:eastAsia="zh-CN"/>
              </w:rPr>
            </w:pPr>
            <w:r>
              <w:rPr>
                <w:rFonts w:hint="eastAsia" w:ascii="仿宋" w:hAnsi="仿宋" w:eastAsia="仿宋" w:cs="仿宋"/>
                <w:color w:val="auto"/>
                <w:kern w:val="1"/>
                <w:sz w:val="21"/>
                <w:szCs w:val="21"/>
                <w:lang w:val="en-US" w:eastAsia="zh-CN"/>
              </w:rPr>
              <w:t>湘西土家族苗族自治州粮食和物资储备局（http://lshwzcbj.xxz.gov.cn/）</w:t>
            </w:r>
          </w:p>
        </w:tc>
      </w:tr>
      <w:tr w14:paraId="42B177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594" w:type="dxa"/>
            <w:vAlign w:val="center"/>
          </w:tcPr>
          <w:p w14:paraId="59534989">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01ECC19F">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第3</w:t>
            </w:r>
            <w:r>
              <w:rPr>
                <w:rFonts w:hint="eastAsia" w:ascii="仿宋" w:hAnsi="仿宋" w:eastAsia="仿宋" w:cs="仿宋"/>
                <w:color w:val="auto"/>
                <w:kern w:val="1"/>
                <w:sz w:val="21"/>
                <w:szCs w:val="21"/>
                <w:lang w:val="en-US" w:eastAsia="zh-CN"/>
              </w:rPr>
              <w:t>8</w:t>
            </w:r>
            <w:r>
              <w:rPr>
                <w:rFonts w:hint="eastAsia" w:ascii="仿宋" w:hAnsi="仿宋" w:eastAsia="仿宋" w:cs="仿宋"/>
                <w:color w:val="auto"/>
                <w:kern w:val="1"/>
                <w:sz w:val="21"/>
                <w:szCs w:val="21"/>
              </w:rPr>
              <w:t>.3款</w:t>
            </w:r>
          </w:p>
        </w:tc>
        <w:tc>
          <w:tcPr>
            <w:tcW w:w="1797" w:type="dxa"/>
            <w:vAlign w:val="center"/>
          </w:tcPr>
          <w:p w14:paraId="2FC73A43">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rPr>
              <w:t>履约担保</w:t>
            </w:r>
          </w:p>
        </w:tc>
        <w:tc>
          <w:tcPr>
            <w:tcW w:w="5840" w:type="dxa"/>
            <w:vAlign w:val="center"/>
          </w:tcPr>
          <w:p w14:paraId="34EC65A0">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仿宋"/>
                <w:b/>
                <w:bCs/>
                <w:color w:val="auto"/>
                <w:kern w:val="1"/>
                <w:sz w:val="21"/>
                <w:szCs w:val="21"/>
                <w:highlight w:val="none"/>
                <w:lang w:val="en-US" w:eastAsia="zh-CN"/>
              </w:rPr>
            </w:pPr>
            <w:r>
              <w:rPr>
                <w:rFonts w:hint="eastAsia" w:ascii="仿宋" w:hAnsi="仿宋" w:eastAsia="仿宋" w:cs="仿宋"/>
                <w:b/>
                <w:bCs/>
                <w:color w:val="auto"/>
                <w:kern w:val="1"/>
                <w:sz w:val="21"/>
                <w:szCs w:val="21"/>
                <w:highlight w:val="none"/>
                <w:lang w:val="en-US" w:eastAsia="zh-CN"/>
              </w:rPr>
              <w:t>☑</w:t>
            </w:r>
            <w:r>
              <w:rPr>
                <w:rFonts w:hint="eastAsia" w:ascii="仿宋" w:hAnsi="仿宋" w:eastAsia="仿宋" w:cs="仿宋"/>
                <w:b w:val="0"/>
                <w:bCs w:val="0"/>
                <w:color w:val="auto"/>
                <w:kern w:val="1"/>
                <w:sz w:val="21"/>
                <w:szCs w:val="21"/>
                <w:highlight w:val="none"/>
                <w:lang w:val="en-US" w:eastAsia="zh-CN"/>
              </w:rPr>
              <w:t>不要求提供</w:t>
            </w:r>
          </w:p>
          <w:p w14:paraId="47E9F24B">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仿宋"/>
                <w:b/>
                <w:bCs/>
                <w:color w:val="auto"/>
                <w:kern w:val="1"/>
                <w:sz w:val="21"/>
                <w:szCs w:val="21"/>
              </w:rPr>
            </w:pPr>
            <w:r>
              <w:rPr>
                <w:rFonts w:hint="eastAsia" w:ascii="仿宋" w:hAnsi="仿宋" w:eastAsia="仿宋" w:cs="仿宋"/>
                <w:b/>
                <w:bCs/>
                <w:color w:val="auto"/>
                <w:kern w:val="1"/>
                <w:sz w:val="21"/>
                <w:szCs w:val="21"/>
                <w:highlight w:val="none"/>
                <w:lang w:val="en-US" w:eastAsia="zh-CN"/>
              </w:rPr>
              <w:t>□</w:t>
            </w:r>
            <w:r>
              <w:rPr>
                <w:rFonts w:hint="eastAsia" w:ascii="仿宋" w:hAnsi="仿宋" w:eastAsia="仿宋" w:cs="仿宋"/>
                <w:color w:val="auto"/>
                <w:kern w:val="1"/>
                <w:sz w:val="21"/>
                <w:szCs w:val="21"/>
                <w:highlight w:val="none"/>
                <w:lang w:val="en-US" w:eastAsia="zh-CN"/>
              </w:rPr>
              <w:t>要求提供，在合同签订前以银行保函形式提交成交金额</w:t>
            </w:r>
            <w:r>
              <w:rPr>
                <w:rFonts w:hint="eastAsia" w:ascii="仿宋" w:hAnsi="仿宋" w:eastAsia="仿宋" w:cs="仿宋"/>
                <w:color w:val="auto"/>
                <w:kern w:val="1"/>
                <w:sz w:val="21"/>
                <w:szCs w:val="21"/>
                <w:highlight w:val="none"/>
                <w:u w:val="single"/>
                <w:lang w:val="en-US" w:eastAsia="zh-CN"/>
              </w:rPr>
              <w:t xml:space="preserve"> / </w:t>
            </w:r>
            <w:r>
              <w:rPr>
                <w:rFonts w:hint="eastAsia" w:ascii="仿宋" w:hAnsi="仿宋" w:eastAsia="仿宋" w:cs="仿宋"/>
                <w:color w:val="auto"/>
                <w:kern w:val="1"/>
                <w:sz w:val="21"/>
                <w:szCs w:val="21"/>
                <w:highlight w:val="none"/>
                <w:lang w:val="en-US" w:eastAsia="zh-CN"/>
              </w:rPr>
              <w:t>%的履约担保。</w:t>
            </w:r>
          </w:p>
        </w:tc>
      </w:tr>
      <w:tr w14:paraId="3592D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231" w:type="dxa"/>
            <w:gridSpan w:val="3"/>
            <w:vAlign w:val="center"/>
          </w:tcPr>
          <w:p w14:paraId="33745D66">
            <w:pPr>
              <w:keepNext w:val="0"/>
              <w:keepLines w:val="0"/>
              <w:pageBreakBefore w:val="0"/>
              <w:kinsoku/>
              <w:overflowPunct/>
              <w:topLinePunct w:val="0"/>
              <w:autoSpaceDE/>
              <w:autoSpaceDN/>
              <w:bidi w:val="0"/>
              <w:spacing w:line="380" w:lineRule="exact"/>
              <w:textAlignment w:val="auto"/>
              <w:rPr>
                <w:rFonts w:hint="eastAsia" w:ascii="仿宋" w:hAnsi="仿宋" w:eastAsia="仿宋" w:cs="仿宋"/>
                <w:color w:val="auto"/>
                <w:kern w:val="1"/>
                <w:sz w:val="21"/>
                <w:szCs w:val="21"/>
              </w:rPr>
            </w:pPr>
            <w:r>
              <w:rPr>
                <w:rFonts w:hint="eastAsia" w:ascii="仿宋" w:hAnsi="仿宋" w:eastAsia="仿宋" w:cs="仿宋"/>
                <w:b/>
                <w:color w:val="auto"/>
                <w:kern w:val="1"/>
                <w:sz w:val="21"/>
                <w:szCs w:val="21"/>
              </w:rPr>
              <w:t>七、其他规定</w:t>
            </w:r>
          </w:p>
        </w:tc>
      </w:tr>
      <w:tr w14:paraId="218523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94" w:type="dxa"/>
            <w:vAlign w:val="center"/>
          </w:tcPr>
          <w:p w14:paraId="638CCA64">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63E05CB3">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第4</w:t>
            </w:r>
            <w:r>
              <w:rPr>
                <w:rFonts w:hint="eastAsia" w:ascii="仿宋" w:hAnsi="仿宋" w:eastAsia="仿宋" w:cs="仿宋"/>
                <w:color w:val="auto"/>
                <w:kern w:val="1"/>
                <w:sz w:val="21"/>
                <w:szCs w:val="21"/>
                <w:lang w:val="en-US" w:eastAsia="zh-CN"/>
              </w:rPr>
              <w:t>0</w:t>
            </w:r>
            <w:r>
              <w:rPr>
                <w:rFonts w:hint="eastAsia" w:ascii="仿宋" w:hAnsi="仿宋" w:eastAsia="仿宋" w:cs="仿宋"/>
                <w:color w:val="auto"/>
                <w:kern w:val="1"/>
                <w:sz w:val="21"/>
                <w:szCs w:val="21"/>
              </w:rPr>
              <w:t>.1款</w:t>
            </w:r>
          </w:p>
        </w:tc>
        <w:tc>
          <w:tcPr>
            <w:tcW w:w="1797" w:type="dxa"/>
            <w:vAlign w:val="center"/>
          </w:tcPr>
          <w:p w14:paraId="3EC28BB1">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1"/>
                <w:sz w:val="21"/>
                <w:szCs w:val="21"/>
              </w:rPr>
              <w:t>采购代理服务费</w:t>
            </w:r>
          </w:p>
        </w:tc>
        <w:tc>
          <w:tcPr>
            <w:tcW w:w="5840" w:type="dxa"/>
            <w:vAlign w:val="center"/>
          </w:tcPr>
          <w:p w14:paraId="44BF4410">
            <w:pPr>
              <w:keepNext w:val="0"/>
              <w:keepLines w:val="0"/>
              <w:pageBreakBefore w:val="0"/>
              <w:kinsoku/>
              <w:wordWrap/>
              <w:overflowPunct/>
              <w:topLinePunct w:val="0"/>
              <w:autoSpaceDE/>
              <w:autoSpaceDN/>
              <w:bidi w:val="0"/>
              <w:adjustRightInd w:val="0"/>
              <w:snapToGrid w:val="0"/>
              <w:spacing w:line="380" w:lineRule="exact"/>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按委托代理协议约定支付。</w:t>
            </w:r>
          </w:p>
        </w:tc>
      </w:tr>
      <w:tr w14:paraId="6ED9B5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594" w:type="dxa"/>
            <w:vAlign w:val="center"/>
          </w:tcPr>
          <w:p w14:paraId="2707269B">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第二章</w:t>
            </w:r>
          </w:p>
          <w:p w14:paraId="699D46EC">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第4</w:t>
            </w:r>
            <w:r>
              <w:rPr>
                <w:rFonts w:hint="eastAsia" w:ascii="仿宋" w:hAnsi="仿宋" w:eastAsia="仿宋" w:cs="仿宋"/>
                <w:color w:val="auto"/>
                <w:kern w:val="1"/>
                <w:sz w:val="21"/>
                <w:szCs w:val="21"/>
                <w:lang w:val="en-US" w:eastAsia="zh-CN"/>
              </w:rPr>
              <w:t>1</w:t>
            </w:r>
            <w:r>
              <w:rPr>
                <w:rFonts w:hint="eastAsia" w:ascii="仿宋" w:hAnsi="仿宋" w:eastAsia="仿宋" w:cs="仿宋"/>
                <w:color w:val="auto"/>
                <w:kern w:val="1"/>
                <w:sz w:val="21"/>
                <w:szCs w:val="21"/>
              </w:rPr>
              <w:t>.1款</w:t>
            </w:r>
          </w:p>
        </w:tc>
        <w:tc>
          <w:tcPr>
            <w:tcW w:w="1797" w:type="dxa"/>
            <w:vAlign w:val="center"/>
          </w:tcPr>
          <w:p w14:paraId="03865C77">
            <w:pPr>
              <w:keepNext w:val="0"/>
              <w:keepLines w:val="0"/>
              <w:pageBreakBefore w:val="0"/>
              <w:kinsoku/>
              <w:overflowPunct/>
              <w:topLinePunct w:val="0"/>
              <w:autoSpaceDE/>
              <w:autoSpaceDN/>
              <w:bidi w:val="0"/>
              <w:spacing w:line="380" w:lineRule="exact"/>
              <w:jc w:val="center"/>
              <w:textAlignment w:val="auto"/>
              <w:rPr>
                <w:rFonts w:hint="eastAsia" w:ascii="仿宋" w:hAnsi="仿宋" w:eastAsia="仿宋" w:cs="仿宋"/>
                <w:color w:val="auto"/>
                <w:kern w:val="1"/>
                <w:sz w:val="21"/>
                <w:szCs w:val="21"/>
              </w:rPr>
            </w:pPr>
            <w:r>
              <w:rPr>
                <w:rFonts w:hint="eastAsia" w:ascii="仿宋" w:hAnsi="仿宋" w:eastAsia="仿宋" w:cs="仿宋"/>
                <w:color w:val="auto"/>
                <w:kern w:val="1"/>
                <w:sz w:val="21"/>
                <w:szCs w:val="21"/>
              </w:rPr>
              <w:t>其他规定</w:t>
            </w:r>
          </w:p>
        </w:tc>
        <w:tc>
          <w:tcPr>
            <w:tcW w:w="5840" w:type="dxa"/>
            <w:vAlign w:val="center"/>
          </w:tcPr>
          <w:p w14:paraId="14C08674">
            <w:pPr>
              <w:pStyle w:val="44"/>
              <w:ind w:left="0" w:leftChars="0" w:firstLine="0" w:firstLineChars="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一、对列入失信被执行人、重大税收违法案件当事人名单、采购严重违法失信行为记录名单及其他不符合《中华人民共和国政府采购法》第二十二条规定条件的供应商，应当拒绝其参与采购活动。</w:t>
            </w:r>
          </w:p>
          <w:p w14:paraId="7418A948">
            <w:pPr>
              <w:pStyle w:val="44"/>
              <w:ind w:left="0" w:leftChars="0" w:firstLine="0" w:firstLineChars="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2ED3CC4">
            <w:pPr>
              <w:pStyle w:val="44"/>
              <w:ind w:left="0" w:leftChars="0" w:firstLine="0" w:firstLineChars="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1、信用信息查询的查询渠道：“信用中国”网站（www.creditchina.gov.cn）、中国采购网（www.ccgp.gov.cn）。</w:t>
            </w:r>
          </w:p>
          <w:p w14:paraId="22ADC462">
            <w:pPr>
              <w:pStyle w:val="44"/>
              <w:ind w:left="0" w:leftChars="0" w:firstLine="0" w:firstLineChars="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2、信用信息查询的截止时点：至本项目投标截止时间止。</w:t>
            </w:r>
          </w:p>
          <w:p w14:paraId="08949312">
            <w:pPr>
              <w:pStyle w:val="44"/>
              <w:ind w:left="0" w:leftChars="0" w:firstLine="0" w:firstLineChars="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3、信用信息查询记录的具体方式：在规定的查询渠道进行查询。</w:t>
            </w:r>
          </w:p>
          <w:p w14:paraId="6ACF5866">
            <w:pPr>
              <w:pStyle w:val="44"/>
              <w:ind w:left="0" w:leftChars="0" w:firstLine="0" w:firstLineChars="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4、信用信息查询记录证据留存的具体方式：查询记录的网上打印件。</w:t>
            </w:r>
          </w:p>
          <w:p w14:paraId="58EF4E9F">
            <w:pPr>
              <w:pStyle w:val="44"/>
              <w:ind w:left="0" w:leftChars="0" w:firstLine="0" w:firstLineChars="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5、信用信息的使用规则：留存备查。</w:t>
            </w:r>
          </w:p>
        </w:tc>
      </w:tr>
    </w:tbl>
    <w:p w14:paraId="3B274895">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29CD38EC">
      <w:pPr>
        <w:spacing w:line="360" w:lineRule="auto"/>
        <w:jc w:val="center"/>
        <w:outlineLvl w:val="1"/>
        <w:rPr>
          <w:rFonts w:hint="eastAsia" w:ascii="仿宋" w:hAnsi="仿宋" w:eastAsia="仿宋" w:cs="仿宋"/>
          <w:b/>
          <w:bCs/>
          <w:color w:val="auto"/>
          <w:sz w:val="28"/>
          <w:szCs w:val="28"/>
        </w:rPr>
      </w:pPr>
      <w:bookmarkStart w:id="52" w:name="_Toc3909"/>
      <w:bookmarkStart w:id="53" w:name="_Toc6647"/>
      <w:bookmarkStart w:id="54" w:name="_Toc11230"/>
      <w:bookmarkStart w:id="55" w:name="_Toc30672"/>
      <w:bookmarkStart w:id="56" w:name="_Toc28888"/>
      <w:r>
        <w:rPr>
          <w:rFonts w:hint="eastAsia" w:ascii="仿宋" w:hAnsi="仿宋" w:eastAsia="仿宋" w:cs="仿宋"/>
          <w:b/>
          <w:bCs/>
          <w:color w:val="auto"/>
          <w:sz w:val="28"/>
          <w:szCs w:val="28"/>
        </w:rPr>
        <w:t>第二节 须知正文</w:t>
      </w:r>
      <w:bookmarkEnd w:id="52"/>
      <w:bookmarkEnd w:id="53"/>
      <w:bookmarkEnd w:id="54"/>
      <w:bookmarkEnd w:id="55"/>
      <w:bookmarkEnd w:id="56"/>
    </w:p>
    <w:p w14:paraId="20E98553">
      <w:pPr>
        <w:keepNext w:val="0"/>
        <w:keepLines w:val="0"/>
        <w:pageBreakBefore w:val="0"/>
        <w:kinsoku/>
        <w:overflowPunct/>
        <w:topLinePunct w:val="0"/>
        <w:autoSpaceDE/>
        <w:autoSpaceDN/>
        <w:bidi w:val="0"/>
        <w:spacing w:line="420" w:lineRule="exact"/>
        <w:textAlignment w:val="auto"/>
        <w:outlineLvl w:val="2"/>
        <w:rPr>
          <w:rFonts w:hint="eastAsia" w:ascii="仿宋" w:hAnsi="仿宋" w:eastAsia="仿宋" w:cs="仿宋"/>
          <w:b/>
          <w:bCs/>
          <w:color w:val="auto"/>
          <w:szCs w:val="21"/>
        </w:rPr>
      </w:pPr>
      <w:bookmarkStart w:id="57" w:name="_Toc31619"/>
      <w:bookmarkStart w:id="58" w:name="_Toc22982"/>
      <w:bookmarkStart w:id="59" w:name="_Toc2995"/>
      <w:r>
        <w:rPr>
          <w:rFonts w:hint="eastAsia" w:ascii="仿宋" w:hAnsi="仿宋" w:eastAsia="仿宋" w:cs="仿宋"/>
          <w:b/>
          <w:bCs/>
          <w:color w:val="auto"/>
          <w:szCs w:val="21"/>
        </w:rPr>
        <w:t>一、说明</w:t>
      </w:r>
      <w:bookmarkEnd w:id="57"/>
      <w:bookmarkEnd w:id="58"/>
      <w:bookmarkEnd w:id="59"/>
    </w:p>
    <w:p w14:paraId="2469976A">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1.适用范围</w:t>
      </w:r>
    </w:p>
    <w:p w14:paraId="0DA302A8">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1.1 本</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文件仅适用于</w:t>
      </w:r>
      <w:r>
        <w:rPr>
          <w:rFonts w:hint="eastAsia" w:ascii="仿宋" w:hAnsi="仿宋" w:eastAsia="仿宋" w:cs="仿宋"/>
          <w:b/>
          <w:color w:val="auto"/>
          <w:szCs w:val="21"/>
        </w:rPr>
        <w:t>【须知前附表】</w:t>
      </w:r>
      <w:r>
        <w:rPr>
          <w:rFonts w:hint="eastAsia" w:ascii="仿宋" w:hAnsi="仿宋" w:eastAsia="仿宋" w:cs="仿宋"/>
          <w:color w:val="auto"/>
          <w:szCs w:val="21"/>
        </w:rPr>
        <w:t>(以下简称须知前附表)中所叙述的采购项目。</w:t>
      </w:r>
    </w:p>
    <w:p w14:paraId="72CCEF9E">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2.定义</w:t>
      </w:r>
    </w:p>
    <w:p w14:paraId="7710C949">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2.1 “采购人”是指依法进行</w:t>
      </w:r>
      <w:r>
        <w:rPr>
          <w:rFonts w:hint="eastAsia" w:ascii="仿宋" w:hAnsi="仿宋" w:eastAsia="仿宋" w:cs="仿宋"/>
          <w:color w:val="auto"/>
          <w:szCs w:val="21"/>
          <w:lang w:eastAsia="zh-CN"/>
        </w:rPr>
        <w:t>采购</w:t>
      </w:r>
      <w:r>
        <w:rPr>
          <w:rFonts w:hint="eastAsia" w:ascii="仿宋" w:hAnsi="仿宋" w:eastAsia="仿宋" w:cs="仿宋"/>
          <w:color w:val="auto"/>
          <w:szCs w:val="21"/>
        </w:rPr>
        <w:t>的国家机关、事业单位、团体组织</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企业</w:t>
      </w:r>
      <w:r>
        <w:rPr>
          <w:rFonts w:hint="eastAsia" w:ascii="仿宋" w:hAnsi="仿宋" w:eastAsia="仿宋" w:cs="仿宋"/>
          <w:color w:val="auto"/>
          <w:szCs w:val="21"/>
        </w:rPr>
        <w:t>。本次</w:t>
      </w:r>
      <w:r>
        <w:rPr>
          <w:rFonts w:hint="eastAsia" w:ascii="仿宋" w:hAnsi="仿宋" w:eastAsia="仿宋" w:cs="仿宋"/>
          <w:color w:val="auto"/>
          <w:szCs w:val="21"/>
          <w:lang w:eastAsia="zh-CN"/>
        </w:rPr>
        <w:t>采购</w:t>
      </w:r>
      <w:r>
        <w:rPr>
          <w:rFonts w:hint="eastAsia" w:ascii="仿宋" w:hAnsi="仿宋" w:eastAsia="仿宋" w:cs="仿宋"/>
          <w:color w:val="auto"/>
          <w:szCs w:val="21"/>
        </w:rPr>
        <w:t>的采购人名称、地址、联系人、电话见</w:t>
      </w:r>
      <w:r>
        <w:rPr>
          <w:rFonts w:hint="eastAsia" w:ascii="仿宋" w:hAnsi="仿宋" w:eastAsia="仿宋" w:cs="仿宋"/>
          <w:b/>
          <w:color w:val="auto"/>
          <w:szCs w:val="21"/>
        </w:rPr>
        <w:t>【须知前附表】</w:t>
      </w:r>
      <w:r>
        <w:rPr>
          <w:rFonts w:hint="eastAsia" w:ascii="仿宋" w:hAnsi="仿宋" w:eastAsia="仿宋" w:cs="仿宋"/>
          <w:color w:val="auto"/>
          <w:szCs w:val="21"/>
        </w:rPr>
        <w:t>。</w:t>
      </w:r>
    </w:p>
    <w:p w14:paraId="035CB3A4">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2.2 “采购代理机构”是指</w:t>
      </w:r>
      <w:r>
        <w:rPr>
          <w:rFonts w:hint="eastAsia" w:ascii="仿宋" w:hAnsi="仿宋" w:eastAsia="仿宋" w:cs="仿宋"/>
          <w:color w:val="auto"/>
          <w:szCs w:val="21"/>
          <w:lang w:eastAsia="zh-CN"/>
        </w:rPr>
        <w:t>湘西鑫诚工程管理咨询有限公司</w:t>
      </w:r>
      <w:r>
        <w:rPr>
          <w:rFonts w:hint="eastAsia" w:ascii="仿宋" w:hAnsi="仿宋" w:eastAsia="仿宋" w:cs="仿宋"/>
          <w:color w:val="auto"/>
          <w:szCs w:val="21"/>
        </w:rPr>
        <w:t>。本次</w:t>
      </w:r>
      <w:r>
        <w:rPr>
          <w:rFonts w:hint="eastAsia" w:ascii="仿宋" w:hAnsi="仿宋" w:eastAsia="仿宋" w:cs="仿宋"/>
          <w:color w:val="auto"/>
          <w:szCs w:val="21"/>
          <w:lang w:eastAsia="zh-CN"/>
        </w:rPr>
        <w:t>采购</w:t>
      </w:r>
      <w:r>
        <w:rPr>
          <w:rFonts w:hint="eastAsia" w:ascii="仿宋" w:hAnsi="仿宋" w:eastAsia="仿宋" w:cs="仿宋"/>
          <w:color w:val="auto"/>
          <w:szCs w:val="21"/>
        </w:rPr>
        <w:t>的采购代理机构名称、地址、联系人、电话见</w:t>
      </w:r>
      <w:r>
        <w:rPr>
          <w:rFonts w:hint="eastAsia" w:ascii="仿宋" w:hAnsi="仿宋" w:eastAsia="仿宋" w:cs="仿宋"/>
          <w:b/>
          <w:color w:val="auto"/>
          <w:szCs w:val="21"/>
        </w:rPr>
        <w:t>【须知前附表】</w:t>
      </w:r>
      <w:r>
        <w:rPr>
          <w:rFonts w:hint="eastAsia" w:ascii="仿宋" w:hAnsi="仿宋" w:eastAsia="仿宋" w:cs="仿宋"/>
          <w:color w:val="auto"/>
          <w:szCs w:val="21"/>
        </w:rPr>
        <w:t>。</w:t>
      </w:r>
    </w:p>
    <w:p w14:paraId="73A3BE92">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2.3 “供应商”是指响应</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文件要求、参加采购的法人。本次</w:t>
      </w:r>
      <w:r>
        <w:rPr>
          <w:rFonts w:hint="eastAsia" w:ascii="仿宋" w:hAnsi="仿宋" w:eastAsia="仿宋" w:cs="仿宋"/>
          <w:color w:val="auto"/>
          <w:szCs w:val="21"/>
          <w:lang w:eastAsia="zh-CN"/>
        </w:rPr>
        <w:t>采购</w:t>
      </w:r>
      <w:r>
        <w:rPr>
          <w:rFonts w:hint="eastAsia" w:ascii="仿宋" w:hAnsi="仿宋" w:eastAsia="仿宋" w:cs="仿宋"/>
          <w:color w:val="auto"/>
          <w:szCs w:val="21"/>
        </w:rPr>
        <w:t>项目邀请供应商的方式见</w:t>
      </w:r>
      <w:r>
        <w:rPr>
          <w:rFonts w:hint="eastAsia" w:ascii="仿宋" w:hAnsi="仿宋" w:eastAsia="仿宋" w:cs="仿宋"/>
          <w:b/>
          <w:color w:val="auto"/>
          <w:szCs w:val="21"/>
        </w:rPr>
        <w:t>【须知前附表】</w:t>
      </w:r>
      <w:r>
        <w:rPr>
          <w:rFonts w:hint="eastAsia" w:ascii="仿宋" w:hAnsi="仿宋" w:eastAsia="仿宋" w:cs="仿宋"/>
          <w:color w:val="auto"/>
          <w:szCs w:val="21"/>
        </w:rPr>
        <w:t>，邀请符合资格条件的供应商提交及响应文件（含资格证明资料），参与采购活动。</w:t>
      </w:r>
    </w:p>
    <w:p w14:paraId="4E59F7F5">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2.4 “</w:t>
      </w:r>
      <w:r>
        <w:rPr>
          <w:rFonts w:hint="eastAsia" w:ascii="仿宋" w:hAnsi="仿宋" w:eastAsia="仿宋" w:cs="仿宋"/>
          <w:color w:val="auto"/>
          <w:szCs w:val="21"/>
          <w:lang w:val="en-US" w:eastAsia="zh-CN"/>
        </w:rPr>
        <w:t>评审</w:t>
      </w:r>
      <w:r>
        <w:rPr>
          <w:rFonts w:hint="eastAsia" w:ascii="仿宋" w:hAnsi="仿宋" w:eastAsia="仿宋" w:cs="仿宋"/>
          <w:color w:val="auto"/>
          <w:szCs w:val="21"/>
        </w:rPr>
        <w:t>小组”是指依据有关规定组建，依法依规履行其职责和义务的机构。</w:t>
      </w:r>
    </w:p>
    <w:p w14:paraId="490ABD7B">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2.5 “货物”是指各种形态和种类的物品，包括原资料、燃料、设备、产品等，详见《</w:t>
      </w:r>
      <w:r>
        <w:rPr>
          <w:rFonts w:hint="eastAsia" w:ascii="仿宋" w:hAnsi="仿宋" w:eastAsia="仿宋" w:cs="仿宋"/>
          <w:color w:val="auto"/>
          <w:szCs w:val="21"/>
          <w:lang w:eastAsia="zh-CN"/>
        </w:rPr>
        <w:t>采购</w:t>
      </w:r>
      <w:r>
        <w:rPr>
          <w:rFonts w:hint="eastAsia" w:ascii="仿宋" w:hAnsi="仿宋" w:eastAsia="仿宋" w:cs="仿宋"/>
          <w:color w:val="auto"/>
          <w:szCs w:val="21"/>
        </w:rPr>
        <w:t>品目分类目录》(</w:t>
      </w:r>
      <w:r>
        <w:rPr>
          <w:rFonts w:hint="eastAsia" w:ascii="仿宋" w:hAnsi="仿宋" w:eastAsia="仿宋" w:cs="仿宋"/>
          <w:bCs/>
          <w:color w:val="auto"/>
          <w:szCs w:val="21"/>
        </w:rPr>
        <w:t>财库[2013]189号</w:t>
      </w:r>
      <w:r>
        <w:rPr>
          <w:rFonts w:hint="eastAsia" w:ascii="仿宋" w:hAnsi="仿宋" w:eastAsia="仿宋" w:cs="仿宋"/>
          <w:color w:val="auto"/>
          <w:szCs w:val="21"/>
        </w:rPr>
        <w:t>)。</w:t>
      </w:r>
    </w:p>
    <w:p w14:paraId="5C275AF0">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2.6 “工程”是指建设工程，包括建筑物和构筑物的新建、改建、扩建、装修、拆除、修缮等，详见《</w:t>
      </w:r>
      <w:r>
        <w:rPr>
          <w:rFonts w:hint="eastAsia" w:ascii="仿宋" w:hAnsi="仿宋" w:eastAsia="仿宋" w:cs="仿宋"/>
          <w:color w:val="auto"/>
          <w:szCs w:val="21"/>
          <w:lang w:eastAsia="zh-CN"/>
        </w:rPr>
        <w:t>采购</w:t>
      </w:r>
      <w:r>
        <w:rPr>
          <w:rFonts w:hint="eastAsia" w:ascii="仿宋" w:hAnsi="仿宋" w:eastAsia="仿宋" w:cs="仿宋"/>
          <w:color w:val="auto"/>
          <w:szCs w:val="21"/>
        </w:rPr>
        <w:t>品目分类目录》(</w:t>
      </w:r>
      <w:r>
        <w:rPr>
          <w:rFonts w:hint="eastAsia" w:ascii="仿宋" w:hAnsi="仿宋" w:eastAsia="仿宋" w:cs="仿宋"/>
          <w:bCs/>
          <w:color w:val="auto"/>
          <w:szCs w:val="21"/>
        </w:rPr>
        <w:t>财库[2013]189号</w:t>
      </w:r>
      <w:r>
        <w:rPr>
          <w:rFonts w:hint="eastAsia" w:ascii="仿宋" w:hAnsi="仿宋" w:eastAsia="仿宋" w:cs="仿宋"/>
          <w:color w:val="auto"/>
          <w:szCs w:val="21"/>
        </w:rPr>
        <w:t>)。</w:t>
      </w:r>
    </w:p>
    <w:p w14:paraId="03224393">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2.7 “服务”是指除货物和工程以外的其他</w:t>
      </w:r>
      <w:r>
        <w:rPr>
          <w:rFonts w:hint="eastAsia" w:ascii="仿宋" w:hAnsi="仿宋" w:eastAsia="仿宋" w:cs="仿宋"/>
          <w:color w:val="auto"/>
          <w:szCs w:val="21"/>
          <w:lang w:eastAsia="zh-CN"/>
        </w:rPr>
        <w:t>采购</w:t>
      </w:r>
      <w:r>
        <w:rPr>
          <w:rFonts w:hint="eastAsia" w:ascii="仿宋" w:hAnsi="仿宋" w:eastAsia="仿宋" w:cs="仿宋"/>
          <w:color w:val="auto"/>
          <w:szCs w:val="21"/>
        </w:rPr>
        <w:t>对象，详见《</w:t>
      </w:r>
      <w:r>
        <w:rPr>
          <w:rFonts w:hint="eastAsia" w:ascii="仿宋" w:hAnsi="仿宋" w:eastAsia="仿宋" w:cs="仿宋"/>
          <w:color w:val="auto"/>
          <w:szCs w:val="21"/>
          <w:lang w:eastAsia="zh-CN"/>
        </w:rPr>
        <w:t>采购</w:t>
      </w:r>
      <w:r>
        <w:rPr>
          <w:rFonts w:hint="eastAsia" w:ascii="仿宋" w:hAnsi="仿宋" w:eastAsia="仿宋" w:cs="仿宋"/>
          <w:color w:val="auto"/>
          <w:szCs w:val="21"/>
        </w:rPr>
        <w:t>品目分类目录》(</w:t>
      </w:r>
      <w:r>
        <w:rPr>
          <w:rFonts w:hint="eastAsia" w:ascii="仿宋" w:hAnsi="仿宋" w:eastAsia="仿宋" w:cs="仿宋"/>
          <w:bCs/>
          <w:color w:val="auto"/>
          <w:szCs w:val="21"/>
        </w:rPr>
        <w:t>财库[2013]189号</w:t>
      </w:r>
      <w:r>
        <w:rPr>
          <w:rFonts w:hint="eastAsia" w:ascii="仿宋" w:hAnsi="仿宋" w:eastAsia="仿宋" w:cs="仿宋"/>
          <w:color w:val="auto"/>
          <w:szCs w:val="21"/>
        </w:rPr>
        <w:t>)。</w:t>
      </w:r>
    </w:p>
    <w:p w14:paraId="26FFE233">
      <w:pPr>
        <w:keepNext w:val="0"/>
        <w:keepLines w:val="0"/>
        <w:pageBreakBefore w:val="0"/>
        <w:kinsoku/>
        <w:overflowPunct/>
        <w:topLinePunct w:val="0"/>
        <w:autoSpaceDE/>
        <w:autoSpaceDN/>
        <w:bidi w:val="0"/>
        <w:snapToGrid w:val="0"/>
        <w:spacing w:line="420" w:lineRule="exact"/>
        <w:ind w:firstLine="420"/>
        <w:textAlignment w:val="auto"/>
        <w:rPr>
          <w:rFonts w:hint="eastAsia" w:ascii="仿宋" w:hAnsi="仿宋" w:eastAsia="仿宋" w:cs="仿宋"/>
          <w:color w:val="auto"/>
          <w:szCs w:val="21"/>
        </w:rPr>
      </w:pPr>
      <w:r>
        <w:rPr>
          <w:rFonts w:hint="eastAsia" w:ascii="仿宋" w:hAnsi="仿宋" w:eastAsia="仿宋" w:cs="仿宋"/>
          <w:color w:val="auto"/>
          <w:szCs w:val="21"/>
        </w:rPr>
        <w:t>2.8 “节能产品”或者“环保产品”是指财政部发布的《节能产品</w:t>
      </w:r>
      <w:r>
        <w:rPr>
          <w:rFonts w:hint="eastAsia" w:ascii="仿宋" w:hAnsi="仿宋" w:eastAsia="仿宋" w:cs="仿宋"/>
          <w:color w:val="auto"/>
          <w:szCs w:val="21"/>
          <w:lang w:eastAsia="zh-CN"/>
        </w:rPr>
        <w:t>采购</w:t>
      </w:r>
      <w:r>
        <w:rPr>
          <w:rFonts w:hint="eastAsia" w:ascii="仿宋" w:hAnsi="仿宋" w:eastAsia="仿宋" w:cs="仿宋"/>
          <w:color w:val="auto"/>
          <w:szCs w:val="21"/>
        </w:rPr>
        <w:t>品目清单》或者《环境标志产品</w:t>
      </w:r>
      <w:r>
        <w:rPr>
          <w:rFonts w:hint="eastAsia" w:ascii="仿宋" w:hAnsi="仿宋" w:eastAsia="仿宋" w:cs="仿宋"/>
          <w:color w:val="auto"/>
          <w:szCs w:val="21"/>
          <w:lang w:eastAsia="zh-CN"/>
        </w:rPr>
        <w:t>采购</w:t>
      </w:r>
      <w:r>
        <w:rPr>
          <w:rFonts w:hint="eastAsia" w:ascii="仿宋" w:hAnsi="仿宋" w:eastAsia="仿宋" w:cs="仿宋"/>
          <w:color w:val="auto"/>
          <w:szCs w:val="21"/>
        </w:rPr>
        <w:t>品目清单》的产品，“两型产品”是指湖南省财政厅发布的《湖南省两型产品</w:t>
      </w:r>
      <w:r>
        <w:rPr>
          <w:rFonts w:hint="eastAsia" w:ascii="仿宋" w:hAnsi="仿宋" w:eastAsia="仿宋" w:cs="仿宋"/>
          <w:color w:val="auto"/>
          <w:szCs w:val="21"/>
          <w:lang w:eastAsia="zh-CN"/>
        </w:rPr>
        <w:t>采购</w:t>
      </w:r>
      <w:r>
        <w:rPr>
          <w:rFonts w:hint="eastAsia" w:ascii="仿宋" w:hAnsi="仿宋" w:eastAsia="仿宋" w:cs="仿宋"/>
          <w:color w:val="auto"/>
          <w:szCs w:val="21"/>
        </w:rPr>
        <w:t>目录》的产品。</w:t>
      </w:r>
    </w:p>
    <w:p w14:paraId="2E8902AC">
      <w:pPr>
        <w:keepNext w:val="0"/>
        <w:keepLines w:val="0"/>
        <w:pageBreakBefore w:val="0"/>
        <w:kinsoku/>
        <w:overflowPunct/>
        <w:topLinePunct w:val="0"/>
        <w:autoSpaceDE/>
        <w:autoSpaceDN/>
        <w:bidi w:val="0"/>
        <w:snapToGrid w:val="0"/>
        <w:spacing w:line="420" w:lineRule="exact"/>
        <w:ind w:firstLine="420"/>
        <w:textAlignment w:val="auto"/>
        <w:rPr>
          <w:rFonts w:hint="eastAsia" w:ascii="仿宋" w:hAnsi="仿宋" w:eastAsia="仿宋" w:cs="仿宋"/>
          <w:color w:val="auto"/>
          <w:szCs w:val="21"/>
        </w:rPr>
      </w:pPr>
      <w:r>
        <w:rPr>
          <w:rFonts w:hint="eastAsia" w:ascii="仿宋" w:hAnsi="仿宋" w:eastAsia="仿宋" w:cs="仿宋"/>
          <w:color w:val="auto"/>
          <w:szCs w:val="21"/>
        </w:rPr>
        <w:t>2.9 “进口产品”是指通过中国海关报关验放进入中国境内且产自关境外的产品，详见《关于</w:t>
      </w:r>
      <w:r>
        <w:rPr>
          <w:rFonts w:hint="eastAsia" w:ascii="仿宋" w:hAnsi="仿宋" w:eastAsia="仿宋" w:cs="仿宋"/>
          <w:color w:val="auto"/>
          <w:szCs w:val="21"/>
          <w:lang w:eastAsia="zh-CN"/>
        </w:rPr>
        <w:t>采购</w:t>
      </w:r>
      <w:r>
        <w:rPr>
          <w:rFonts w:hint="eastAsia" w:ascii="仿宋" w:hAnsi="仿宋" w:eastAsia="仿宋" w:cs="仿宋"/>
          <w:color w:val="auto"/>
          <w:szCs w:val="21"/>
        </w:rPr>
        <w:t>进口产品管理有关问题的通知》(财库[2007]119号)。</w:t>
      </w:r>
    </w:p>
    <w:p w14:paraId="788EFFAC">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3.供应商的资格要求</w:t>
      </w:r>
    </w:p>
    <w:p w14:paraId="456F78AF">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3.1 供应商应当符合</w:t>
      </w:r>
      <w:r>
        <w:rPr>
          <w:rFonts w:hint="eastAsia" w:ascii="仿宋" w:hAnsi="仿宋" w:eastAsia="仿宋" w:cs="仿宋"/>
          <w:b/>
          <w:color w:val="auto"/>
          <w:szCs w:val="21"/>
        </w:rPr>
        <w:t>【须知前附表】</w:t>
      </w:r>
      <w:r>
        <w:rPr>
          <w:rFonts w:hint="eastAsia" w:ascii="仿宋" w:hAnsi="仿宋" w:eastAsia="仿宋" w:cs="仿宋"/>
          <w:color w:val="auto"/>
          <w:szCs w:val="21"/>
        </w:rPr>
        <w:t>中规定的下列资格条件要求；</w:t>
      </w:r>
    </w:p>
    <w:p w14:paraId="71CDD611">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（l）《</w:t>
      </w:r>
      <w:r>
        <w:rPr>
          <w:rFonts w:hint="eastAsia" w:ascii="仿宋" w:hAnsi="仿宋" w:eastAsia="仿宋" w:cs="仿宋"/>
          <w:b/>
          <w:bCs/>
          <w:color w:val="auto"/>
          <w:szCs w:val="21"/>
          <w:u w:val="single"/>
          <w:lang w:eastAsia="zh-CN"/>
        </w:rPr>
        <w:t>采购</w:t>
      </w:r>
      <w:r>
        <w:rPr>
          <w:rFonts w:hint="eastAsia" w:ascii="仿宋" w:hAnsi="仿宋" w:eastAsia="仿宋" w:cs="仿宋"/>
          <w:b/>
          <w:bCs/>
          <w:color w:val="auto"/>
          <w:szCs w:val="21"/>
          <w:u w:val="single"/>
        </w:rPr>
        <w:t>法》第二十二条规定的供应商基本资格条件；</w:t>
      </w:r>
    </w:p>
    <w:p w14:paraId="06E779A6">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 xml:space="preserve">（2） </w:t>
      </w:r>
      <w:r>
        <w:rPr>
          <w:rFonts w:hint="eastAsia" w:ascii="仿宋" w:hAnsi="仿宋" w:eastAsia="仿宋" w:cs="仿宋"/>
          <w:b/>
          <w:bCs/>
          <w:color w:val="auto"/>
          <w:szCs w:val="21"/>
          <w:u w:val="single"/>
          <w:lang w:val="en-US" w:eastAsia="zh-CN"/>
        </w:rPr>
        <w:t>采购</w:t>
      </w:r>
      <w:r>
        <w:rPr>
          <w:rFonts w:hint="eastAsia" w:ascii="仿宋" w:hAnsi="仿宋" w:eastAsia="仿宋" w:cs="仿宋"/>
          <w:b/>
          <w:bCs/>
          <w:color w:val="auto"/>
          <w:szCs w:val="21"/>
          <w:u w:val="single"/>
        </w:rPr>
        <w:t xml:space="preserve">文件规定的供应商特定资格条件。 </w:t>
      </w:r>
    </w:p>
    <w:p w14:paraId="065A557B">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3.2供应商为联合体形式的，除应满足本章第3.1款资格条件要求及第3.3款规定外，还应遵守以下规定：</w:t>
      </w:r>
    </w:p>
    <w:p w14:paraId="1820DFF6">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（1）联合体各方应按</w:t>
      </w:r>
      <w:r>
        <w:rPr>
          <w:rFonts w:hint="eastAsia" w:ascii="仿宋" w:hAnsi="仿宋" w:eastAsia="仿宋" w:cs="仿宋"/>
          <w:color w:val="auto"/>
          <w:szCs w:val="21"/>
          <w:lang w:val="en-US" w:eastAsia="zh-CN"/>
        </w:rPr>
        <w:t>采购</w:t>
      </w:r>
      <w:r>
        <w:rPr>
          <w:rFonts w:hint="eastAsia" w:ascii="仿宋" w:hAnsi="仿宋" w:eastAsia="仿宋" w:cs="仿宋"/>
          <w:color w:val="auto"/>
          <w:szCs w:val="21"/>
          <w:lang w:val="zh-CN"/>
        </w:rPr>
        <w:t>文件提供的格式签订联合体协议书，明确联合体牵头人和各方权利义务(含承担工作及工作量比例)；</w:t>
      </w:r>
    </w:p>
    <w:p w14:paraId="6EDD0422">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（2）联合体中有同类资质的供应商按照联合体分工承担相同工作的，应当按照资质等级较低的供应商确定资质等级；</w:t>
      </w:r>
    </w:p>
    <w:p w14:paraId="78DDCBDC">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zh-CN"/>
        </w:rPr>
        <w:t>（3）以联合体形式参加采购活动的，联合体各方不得再单独参加或者与其他供应商另外组成联合体参加同一合同项下的采购活动。</w:t>
      </w:r>
    </w:p>
    <w:p w14:paraId="313B5E77">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3.3 供应商不得存在下列情形之一：</w:t>
      </w:r>
    </w:p>
    <w:p w14:paraId="45D2A680">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（l）与采购人、采购代理机构存在隶属关系或者其他利害关系。</w:t>
      </w:r>
    </w:p>
    <w:p w14:paraId="50333CBD">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（2）与其他供应商的法定代表人（或者负责人）为同一人，或者与其他供应商存在控股、关联关系。</w:t>
      </w:r>
    </w:p>
    <w:p w14:paraId="09E2E189">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（3）受到刑事处罚，或者受到200万元以上的罚款、责令停产停业、在一至三年内禁止参加</w:t>
      </w:r>
      <w:r>
        <w:rPr>
          <w:rFonts w:hint="eastAsia" w:ascii="仿宋" w:hAnsi="仿宋" w:eastAsia="仿宋" w:cs="仿宋"/>
          <w:color w:val="auto"/>
          <w:szCs w:val="21"/>
          <w:lang w:eastAsia="zh-CN"/>
        </w:rPr>
        <w:t>采购</w:t>
      </w:r>
      <w:r>
        <w:rPr>
          <w:rFonts w:hint="eastAsia" w:ascii="仿宋" w:hAnsi="仿宋" w:eastAsia="仿宋" w:cs="仿宋"/>
          <w:color w:val="auto"/>
          <w:szCs w:val="21"/>
        </w:rPr>
        <w:t>活动、暂扣或者吊销许可证、暂扣或者吊销执照等情形之一的行政处罚，或者存在财政部门认定的其他重大违法记录。</w:t>
      </w:r>
    </w:p>
    <w:p w14:paraId="74A472A5">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4.参与</w:t>
      </w:r>
      <w:r>
        <w:rPr>
          <w:rFonts w:hint="eastAsia" w:ascii="仿宋" w:hAnsi="仿宋" w:eastAsia="仿宋" w:cs="仿宋"/>
          <w:b/>
          <w:color w:val="auto"/>
          <w:szCs w:val="21"/>
          <w:lang w:val="en-US" w:eastAsia="zh-CN"/>
        </w:rPr>
        <w:t>投标</w:t>
      </w:r>
      <w:r>
        <w:rPr>
          <w:rFonts w:hint="eastAsia" w:ascii="仿宋" w:hAnsi="仿宋" w:eastAsia="仿宋" w:cs="仿宋"/>
          <w:b/>
          <w:color w:val="auto"/>
          <w:szCs w:val="21"/>
        </w:rPr>
        <w:t xml:space="preserve">的费用 </w:t>
      </w:r>
    </w:p>
    <w:p w14:paraId="74EF489F">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4.1 无论结果如何，供应商应自行承担所有与采购活动有关的全部费用。</w:t>
      </w:r>
    </w:p>
    <w:p w14:paraId="205295D1">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5．授权委托</w:t>
      </w:r>
    </w:p>
    <w:p w14:paraId="11C8605F">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5.1供应商代表为供应商法定代表人的，应持有法定代表人身份证明。供应商代表不是供应商法定代表人的，应持有法定代表人授权书，并附法定代表人身份证明。</w:t>
      </w:r>
    </w:p>
    <w:p w14:paraId="4C7D94E7">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6．联合体形式</w:t>
      </w:r>
    </w:p>
    <w:p w14:paraId="7895E625">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6.1除</w:t>
      </w:r>
      <w:r>
        <w:rPr>
          <w:rFonts w:hint="eastAsia" w:ascii="仿宋" w:hAnsi="仿宋" w:eastAsia="仿宋" w:cs="仿宋"/>
          <w:b/>
          <w:color w:val="auto"/>
          <w:szCs w:val="21"/>
        </w:rPr>
        <w:t>【须知前附表】</w:t>
      </w:r>
      <w:r>
        <w:rPr>
          <w:rFonts w:hint="eastAsia" w:ascii="仿宋" w:hAnsi="仿宋" w:eastAsia="仿宋" w:cs="仿宋"/>
          <w:color w:val="auto"/>
          <w:szCs w:val="21"/>
        </w:rPr>
        <w:t>中另有规定，本次采购不接受为联合体形式的供应商。</w:t>
      </w:r>
    </w:p>
    <w:p w14:paraId="0016DF8A">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6.2供应商为联合体形式的，除应符合本章第3条规定外，还应遵守以下规定：</w:t>
      </w:r>
    </w:p>
    <w:p w14:paraId="029E44D2">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（l）联合体各方必须签订联合体协议书，明确联合体牵头人和各方的义务、工作、合同工作量比例；</w:t>
      </w:r>
    </w:p>
    <w:p w14:paraId="29E84AF9">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（2）联合体各方均应当符合本章第3.1</w:t>
      </w:r>
      <w:r>
        <w:rPr>
          <w:rFonts w:hint="eastAsia" w:ascii="仿宋" w:hAnsi="仿宋" w:eastAsia="仿宋" w:cs="仿宋"/>
          <w:color w:val="auto"/>
          <w:kern w:val="0"/>
          <w:szCs w:val="21"/>
          <w:lang w:val="zh-CN"/>
        </w:rPr>
        <w:t>款</w:t>
      </w:r>
      <w:r>
        <w:rPr>
          <w:rFonts w:hint="eastAsia" w:ascii="仿宋" w:hAnsi="仿宋" w:eastAsia="仿宋" w:cs="仿宋"/>
          <w:color w:val="auto"/>
          <w:szCs w:val="21"/>
        </w:rPr>
        <w:t>规定的供应商基本资格条件；</w:t>
      </w:r>
    </w:p>
    <w:p w14:paraId="78187F93">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（3）除</w:t>
      </w:r>
      <w:r>
        <w:rPr>
          <w:rFonts w:hint="eastAsia" w:ascii="仿宋" w:hAnsi="仿宋" w:eastAsia="仿宋" w:cs="仿宋"/>
          <w:b/>
          <w:color w:val="auto"/>
          <w:szCs w:val="21"/>
        </w:rPr>
        <w:t>【须知前附表】</w:t>
      </w:r>
      <w:r>
        <w:rPr>
          <w:rFonts w:hint="eastAsia" w:ascii="仿宋" w:hAnsi="仿宋" w:eastAsia="仿宋" w:cs="仿宋"/>
          <w:color w:val="auto"/>
          <w:szCs w:val="21"/>
        </w:rPr>
        <w:t>中另有规定，联合体各方中至少有一方应当符合本章第3.1</w:t>
      </w:r>
      <w:r>
        <w:rPr>
          <w:rFonts w:hint="eastAsia" w:ascii="仿宋" w:hAnsi="仿宋" w:eastAsia="仿宋" w:cs="仿宋"/>
          <w:color w:val="auto"/>
          <w:kern w:val="0"/>
          <w:szCs w:val="21"/>
          <w:lang w:val="zh-CN"/>
        </w:rPr>
        <w:t>款</w:t>
      </w:r>
      <w:r>
        <w:rPr>
          <w:rFonts w:hint="eastAsia" w:ascii="仿宋" w:hAnsi="仿宋" w:eastAsia="仿宋" w:cs="仿宋"/>
          <w:color w:val="auto"/>
          <w:szCs w:val="21"/>
        </w:rPr>
        <w:t>规定的供应商特定资格条件；</w:t>
      </w:r>
    </w:p>
    <w:p w14:paraId="4071D4E9">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（4）</w:t>
      </w:r>
      <w:r>
        <w:rPr>
          <w:rFonts w:hint="eastAsia" w:ascii="仿宋" w:hAnsi="仿宋" w:eastAsia="仿宋" w:cs="仿宋"/>
          <w:color w:val="auto"/>
          <w:kern w:val="0"/>
          <w:szCs w:val="21"/>
          <w:lang w:val="zh-CN"/>
        </w:rPr>
        <w:t>联合体各方不得再单独或与其他供应商组成新的联合体参加同一项目的采购活动。</w:t>
      </w:r>
    </w:p>
    <w:p w14:paraId="2D809B74">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7.现场勘察</w:t>
      </w:r>
    </w:p>
    <w:p w14:paraId="382F7DAB">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7.1供应商应按</w:t>
      </w:r>
      <w:r>
        <w:rPr>
          <w:rFonts w:hint="eastAsia" w:ascii="仿宋" w:hAnsi="仿宋" w:eastAsia="仿宋" w:cs="仿宋"/>
          <w:b/>
          <w:color w:val="auto"/>
          <w:szCs w:val="21"/>
        </w:rPr>
        <w:t>【须知前附表】</w:t>
      </w:r>
      <w:r>
        <w:rPr>
          <w:rFonts w:hint="eastAsia" w:ascii="仿宋" w:hAnsi="仿宋" w:eastAsia="仿宋" w:cs="仿宋"/>
          <w:color w:val="auto"/>
          <w:szCs w:val="21"/>
        </w:rPr>
        <w:t>中规定对采购项目现场和周围环境的现场考察。</w:t>
      </w:r>
    </w:p>
    <w:p w14:paraId="6E922786">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7.2勘察现场的费用由供应商自己承担，勘察期间所发生的人身伤害及财产损失由供应商自己负责。</w:t>
      </w:r>
    </w:p>
    <w:p w14:paraId="1F015CA9">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7.3采购人不对供应商据此而做出的推论、理解和结论负责。一旦成交，供应商不得以任何借口，提出额外补偿，或延长合同期限的要求。</w:t>
      </w:r>
    </w:p>
    <w:p w14:paraId="7A55FDEE">
      <w:pPr>
        <w:keepNext w:val="0"/>
        <w:keepLines w:val="0"/>
        <w:pageBreakBefore w:val="0"/>
        <w:kinsoku/>
        <w:overflowPunct/>
        <w:topLinePunct w:val="0"/>
        <w:autoSpaceDE/>
        <w:autoSpaceDN/>
        <w:bidi w:val="0"/>
        <w:snapToGrid w:val="0"/>
        <w:spacing w:line="420" w:lineRule="exact"/>
        <w:ind w:firstLine="422" w:firstLineChars="200"/>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8.采购进口产品</w:t>
      </w:r>
    </w:p>
    <w:p w14:paraId="5F189C01">
      <w:pPr>
        <w:keepNext w:val="0"/>
        <w:keepLines w:val="0"/>
        <w:pageBreakBefore w:val="0"/>
        <w:kinsoku/>
        <w:overflowPunct/>
        <w:topLinePunct w:val="0"/>
        <w:autoSpaceDE/>
        <w:autoSpaceDN/>
        <w:bidi w:val="0"/>
        <w:snapToGrid w:val="0"/>
        <w:spacing w:line="420" w:lineRule="exact"/>
        <w:ind w:firstLine="420"/>
        <w:jc w:val="left"/>
        <w:textAlignment w:val="auto"/>
        <w:rPr>
          <w:rFonts w:hint="eastAsia" w:ascii="仿宋" w:hAnsi="仿宋" w:eastAsia="仿宋" w:cs="仿宋"/>
          <w:color w:val="auto"/>
          <w:szCs w:val="21"/>
        </w:rPr>
      </w:pPr>
      <w:r>
        <w:rPr>
          <w:rFonts w:hint="eastAsia" w:ascii="仿宋" w:hAnsi="仿宋" w:eastAsia="仿宋" w:cs="仿宋"/>
          <w:color w:val="auto"/>
          <w:szCs w:val="21"/>
        </w:rPr>
        <w:t>8.1除</w:t>
      </w:r>
      <w:r>
        <w:rPr>
          <w:rFonts w:hint="eastAsia" w:ascii="仿宋" w:hAnsi="仿宋" w:eastAsia="仿宋" w:cs="仿宋"/>
          <w:b/>
          <w:color w:val="auto"/>
          <w:szCs w:val="21"/>
        </w:rPr>
        <w:t>【须知前附表】</w:t>
      </w:r>
      <w:r>
        <w:rPr>
          <w:rFonts w:hint="eastAsia" w:ascii="仿宋" w:hAnsi="仿宋" w:eastAsia="仿宋" w:cs="仿宋"/>
          <w:color w:val="auto"/>
          <w:szCs w:val="21"/>
        </w:rPr>
        <w:t>另有规定外，本项目拒绝进口产品参加采购活动。</w:t>
      </w:r>
    </w:p>
    <w:p w14:paraId="302720F5">
      <w:pPr>
        <w:keepNext w:val="0"/>
        <w:keepLines w:val="0"/>
        <w:pageBreakBefore w:val="0"/>
        <w:kinsoku/>
        <w:overflowPunct/>
        <w:topLinePunct w:val="0"/>
        <w:autoSpaceDE/>
        <w:autoSpaceDN/>
        <w:bidi w:val="0"/>
        <w:snapToGrid w:val="0"/>
        <w:spacing w:line="420" w:lineRule="exact"/>
        <w:ind w:firstLine="420"/>
        <w:jc w:val="left"/>
        <w:textAlignment w:val="auto"/>
        <w:rPr>
          <w:rFonts w:hint="eastAsia" w:ascii="仿宋" w:hAnsi="仿宋" w:eastAsia="仿宋" w:cs="仿宋"/>
          <w:color w:val="auto"/>
          <w:szCs w:val="21"/>
        </w:rPr>
      </w:pPr>
      <w:r>
        <w:rPr>
          <w:rFonts w:hint="eastAsia" w:ascii="仿宋" w:hAnsi="仿宋" w:eastAsia="仿宋" w:cs="仿宋"/>
          <w:color w:val="auto"/>
          <w:szCs w:val="21"/>
        </w:rPr>
        <w:t>8.2本章第7.1款规定同意购买进口产品的，本项目采购活动不限制满足</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文件要求的国内产品参与。</w:t>
      </w:r>
    </w:p>
    <w:p w14:paraId="18119BE1">
      <w:pPr>
        <w:keepNext w:val="0"/>
        <w:keepLines w:val="0"/>
        <w:pageBreakBefore w:val="0"/>
        <w:kinsoku/>
        <w:overflowPunct/>
        <w:topLinePunct w:val="0"/>
        <w:autoSpaceDE/>
        <w:autoSpaceDN/>
        <w:bidi w:val="0"/>
        <w:spacing w:line="420" w:lineRule="exact"/>
        <w:textAlignment w:val="auto"/>
        <w:outlineLvl w:val="2"/>
        <w:rPr>
          <w:rFonts w:hint="eastAsia" w:ascii="仿宋" w:hAnsi="仿宋" w:eastAsia="仿宋" w:cs="仿宋"/>
          <w:b/>
          <w:bCs/>
          <w:color w:val="auto"/>
          <w:szCs w:val="21"/>
          <w:lang w:eastAsia="zh-CN"/>
        </w:rPr>
      </w:pPr>
      <w:bookmarkStart w:id="60" w:name="_Toc25931"/>
      <w:bookmarkStart w:id="61" w:name="_Toc26168"/>
      <w:bookmarkStart w:id="62" w:name="_Toc30459"/>
      <w:r>
        <w:rPr>
          <w:rFonts w:hint="eastAsia" w:ascii="仿宋" w:hAnsi="仿宋" w:eastAsia="仿宋" w:cs="仿宋"/>
          <w:b/>
          <w:bCs/>
          <w:color w:val="auto"/>
          <w:szCs w:val="21"/>
        </w:rPr>
        <w:t>二、</w:t>
      </w:r>
      <w:bookmarkEnd w:id="60"/>
      <w:bookmarkEnd w:id="61"/>
      <w:bookmarkEnd w:id="62"/>
      <w:r>
        <w:rPr>
          <w:rFonts w:hint="eastAsia" w:ascii="仿宋" w:hAnsi="仿宋" w:eastAsia="仿宋" w:cs="仿宋"/>
          <w:b/>
          <w:bCs/>
          <w:color w:val="auto"/>
          <w:szCs w:val="21"/>
          <w:lang w:eastAsia="zh-CN"/>
        </w:rPr>
        <w:t>采购文件</w:t>
      </w:r>
    </w:p>
    <w:p w14:paraId="11E2E094">
      <w:pPr>
        <w:keepNext w:val="0"/>
        <w:keepLines w:val="0"/>
        <w:pageBreakBefore w:val="0"/>
        <w:kinsoku/>
        <w:overflowPunct/>
        <w:topLinePunct w:val="0"/>
        <w:autoSpaceDE/>
        <w:autoSpaceDN/>
        <w:bidi w:val="0"/>
        <w:snapToGrid w:val="0"/>
        <w:spacing w:line="420" w:lineRule="exact"/>
        <w:ind w:firstLine="422" w:firstLineChars="200"/>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10．</w:t>
      </w:r>
      <w:r>
        <w:rPr>
          <w:rFonts w:hint="eastAsia" w:ascii="仿宋" w:hAnsi="仿宋" w:eastAsia="仿宋" w:cs="仿宋"/>
          <w:b/>
          <w:color w:val="auto"/>
          <w:szCs w:val="21"/>
          <w:lang w:val="en-US" w:eastAsia="zh-CN"/>
        </w:rPr>
        <w:t>采购</w:t>
      </w:r>
      <w:r>
        <w:rPr>
          <w:rFonts w:hint="eastAsia" w:ascii="仿宋" w:hAnsi="仿宋" w:eastAsia="仿宋" w:cs="仿宋"/>
          <w:b/>
          <w:color w:val="auto"/>
          <w:szCs w:val="21"/>
        </w:rPr>
        <w:t>文件的组成</w:t>
      </w:r>
    </w:p>
    <w:p w14:paraId="117D180B">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 xml:space="preserve">10.1 </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文件由下列文件组成：</w:t>
      </w:r>
    </w:p>
    <w:p w14:paraId="05ECF255">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 xml:space="preserve">第一章 </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邀请</w:t>
      </w:r>
    </w:p>
    <w:p w14:paraId="371F8686">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 xml:space="preserve">第二章 </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须知</w:t>
      </w:r>
    </w:p>
    <w:p w14:paraId="5E29E600">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第三章 合同草案条款</w:t>
      </w:r>
    </w:p>
    <w:p w14:paraId="29470360">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第四章 采购需求</w:t>
      </w:r>
    </w:p>
    <w:p w14:paraId="71712154">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第五章 响应文件组成</w:t>
      </w:r>
    </w:p>
    <w:p w14:paraId="3444D016">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10.2本章第12.1款规定的提交首次响应文件截止时间前对</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文件澄清或者修改内容，为</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文件的组成部分。</w:t>
      </w:r>
    </w:p>
    <w:p w14:paraId="30DB23F6">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10.3</w:t>
      </w:r>
      <w:r>
        <w:rPr>
          <w:rFonts w:hint="eastAsia" w:ascii="仿宋" w:hAnsi="仿宋" w:eastAsia="仿宋" w:cs="仿宋"/>
          <w:color w:val="auto"/>
          <w:szCs w:val="21"/>
          <w:lang w:val="en-US" w:eastAsia="zh-CN"/>
        </w:rPr>
        <w:t>评审</w:t>
      </w:r>
      <w:r>
        <w:rPr>
          <w:rFonts w:hint="eastAsia" w:ascii="仿宋" w:hAnsi="仿宋" w:eastAsia="仿宋" w:cs="仿宋"/>
          <w:color w:val="auto"/>
          <w:szCs w:val="21"/>
        </w:rPr>
        <w:t>小组根据与供应商</w:t>
      </w:r>
      <w:r>
        <w:rPr>
          <w:rFonts w:hint="eastAsia" w:ascii="仿宋" w:hAnsi="仿宋" w:eastAsia="仿宋" w:cs="仿宋"/>
          <w:color w:val="auto"/>
          <w:szCs w:val="21"/>
          <w:lang w:val="en-US" w:eastAsia="zh-CN"/>
        </w:rPr>
        <w:t>评审</w:t>
      </w:r>
      <w:r>
        <w:rPr>
          <w:rFonts w:hint="eastAsia" w:ascii="仿宋" w:hAnsi="仿宋" w:eastAsia="仿宋" w:cs="仿宋"/>
          <w:color w:val="auto"/>
          <w:szCs w:val="21"/>
        </w:rPr>
        <w:t>情况可能实质性变动的内容，包括采购需求中的技术、服务要求以及合同条款，在</w:t>
      </w:r>
      <w:r>
        <w:rPr>
          <w:rFonts w:hint="eastAsia" w:ascii="仿宋" w:hAnsi="仿宋" w:eastAsia="仿宋" w:cs="仿宋"/>
          <w:b/>
          <w:color w:val="auto"/>
          <w:szCs w:val="21"/>
        </w:rPr>
        <w:t>【须知前附表】</w:t>
      </w:r>
      <w:r>
        <w:rPr>
          <w:rFonts w:hint="eastAsia" w:ascii="仿宋" w:hAnsi="仿宋" w:eastAsia="仿宋" w:cs="仿宋"/>
          <w:color w:val="auto"/>
          <w:szCs w:val="21"/>
        </w:rPr>
        <w:t>中明确。</w:t>
      </w:r>
    </w:p>
    <w:p w14:paraId="13147F80">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10.4供应商应仔细阅读</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文件的全部内容，按照</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文件要求编制响应文件。任何对</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文件的忽略或误解不能作为响应文件存在缺陷或瑕疵的理由，其风险由供应商承担。</w:t>
      </w:r>
    </w:p>
    <w:p w14:paraId="0D7A8565">
      <w:pPr>
        <w:keepNext w:val="0"/>
        <w:keepLines w:val="0"/>
        <w:pageBreakBefore w:val="0"/>
        <w:kinsoku/>
        <w:overflowPunct/>
        <w:topLinePunct w:val="0"/>
        <w:autoSpaceDE/>
        <w:autoSpaceDN/>
        <w:bidi w:val="0"/>
        <w:snapToGrid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 xml:space="preserve">11. </w:t>
      </w:r>
      <w:r>
        <w:rPr>
          <w:rFonts w:hint="eastAsia" w:ascii="仿宋" w:hAnsi="仿宋" w:eastAsia="仿宋" w:cs="仿宋"/>
          <w:b/>
          <w:color w:val="auto"/>
          <w:szCs w:val="21"/>
          <w:lang w:val="en-US" w:eastAsia="zh-CN"/>
        </w:rPr>
        <w:t>采购</w:t>
      </w:r>
      <w:r>
        <w:rPr>
          <w:rFonts w:hint="eastAsia" w:ascii="仿宋" w:hAnsi="仿宋" w:eastAsia="仿宋" w:cs="仿宋"/>
          <w:b/>
          <w:color w:val="auto"/>
          <w:szCs w:val="21"/>
        </w:rPr>
        <w:t>文件的提供期限</w:t>
      </w:r>
    </w:p>
    <w:p w14:paraId="179B27FC">
      <w:pPr>
        <w:keepNext w:val="0"/>
        <w:keepLines w:val="0"/>
        <w:pageBreakBefore w:val="0"/>
        <w:kinsoku/>
        <w:overflowPunct/>
        <w:topLinePunct w:val="0"/>
        <w:autoSpaceDE/>
        <w:autoSpaceDN/>
        <w:bidi w:val="0"/>
        <w:snapToGrid w:val="0"/>
        <w:spacing w:line="420" w:lineRule="exact"/>
        <w:ind w:firstLine="420"/>
        <w:textAlignment w:val="auto"/>
        <w:rPr>
          <w:rFonts w:hint="eastAsia" w:ascii="仿宋" w:hAnsi="仿宋" w:eastAsia="仿宋" w:cs="仿宋"/>
          <w:color w:val="auto"/>
          <w:szCs w:val="21"/>
        </w:rPr>
      </w:pPr>
      <w:r>
        <w:rPr>
          <w:rFonts w:hint="eastAsia" w:ascii="仿宋" w:hAnsi="仿宋" w:eastAsia="仿宋" w:cs="仿宋"/>
          <w:color w:val="auto"/>
          <w:szCs w:val="21"/>
        </w:rPr>
        <w:t>11.1</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文件的提供期限自开始发出之日起不得少于五个工作日。具体提供期限见</w:t>
      </w:r>
      <w:r>
        <w:rPr>
          <w:rFonts w:hint="eastAsia" w:ascii="仿宋" w:hAnsi="仿宋" w:eastAsia="仿宋" w:cs="仿宋"/>
          <w:b/>
          <w:color w:val="auto"/>
          <w:szCs w:val="21"/>
        </w:rPr>
        <w:t>【须知前附表】</w:t>
      </w:r>
      <w:r>
        <w:rPr>
          <w:rFonts w:hint="eastAsia" w:ascii="仿宋" w:hAnsi="仿宋" w:eastAsia="仿宋" w:cs="仿宋"/>
          <w:color w:val="auto"/>
          <w:szCs w:val="21"/>
        </w:rPr>
        <w:t>。</w:t>
      </w:r>
    </w:p>
    <w:p w14:paraId="05BA18BB">
      <w:pPr>
        <w:keepNext w:val="0"/>
        <w:keepLines w:val="0"/>
        <w:pageBreakBefore w:val="0"/>
        <w:kinsoku/>
        <w:overflowPunct/>
        <w:topLinePunct w:val="0"/>
        <w:autoSpaceDE/>
        <w:autoSpaceDN/>
        <w:bidi w:val="0"/>
        <w:snapToGrid w:val="0"/>
        <w:spacing w:line="420" w:lineRule="exact"/>
        <w:ind w:firstLine="420"/>
        <w:textAlignment w:val="auto"/>
        <w:rPr>
          <w:rFonts w:hint="eastAsia" w:ascii="仿宋" w:hAnsi="仿宋" w:eastAsia="仿宋" w:cs="仿宋"/>
          <w:color w:val="auto"/>
          <w:szCs w:val="21"/>
        </w:rPr>
      </w:pPr>
      <w:r>
        <w:rPr>
          <w:rFonts w:hint="eastAsia" w:ascii="仿宋" w:hAnsi="仿宋" w:eastAsia="仿宋" w:cs="仿宋"/>
          <w:color w:val="auto"/>
          <w:szCs w:val="21"/>
        </w:rPr>
        <w:t>11.2供应商应按</w:t>
      </w:r>
      <w:r>
        <w:rPr>
          <w:rFonts w:hint="eastAsia" w:ascii="仿宋" w:hAnsi="仿宋" w:eastAsia="仿宋" w:cs="仿宋"/>
          <w:b/>
          <w:color w:val="auto"/>
          <w:szCs w:val="21"/>
        </w:rPr>
        <w:t>【须知前附表】</w:t>
      </w:r>
      <w:r>
        <w:rPr>
          <w:rFonts w:hint="eastAsia" w:ascii="仿宋" w:hAnsi="仿宋" w:eastAsia="仿宋" w:cs="仿宋"/>
          <w:color w:val="auto"/>
          <w:szCs w:val="21"/>
        </w:rPr>
        <w:t>规定的</w:t>
      </w:r>
      <w:r>
        <w:rPr>
          <w:rFonts w:hint="eastAsia" w:ascii="仿宋" w:hAnsi="仿宋" w:eastAsia="仿宋" w:cs="仿宋"/>
          <w:color w:val="auto"/>
          <w:szCs w:val="21"/>
          <w:lang w:val="en-US" w:eastAsia="zh-CN"/>
        </w:rPr>
        <w:t>方式获取采购</w:t>
      </w:r>
      <w:r>
        <w:rPr>
          <w:rFonts w:hint="eastAsia" w:ascii="仿宋" w:hAnsi="仿宋" w:eastAsia="仿宋" w:cs="仿宋"/>
          <w:color w:val="auto"/>
          <w:szCs w:val="21"/>
        </w:rPr>
        <w:t>文件。</w:t>
      </w:r>
    </w:p>
    <w:p w14:paraId="4746D7D0">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12.提交首次响应文件的截止时间</w:t>
      </w:r>
    </w:p>
    <w:p w14:paraId="585D1F1D">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12.1供应商提交首次响应文件截止时间见</w:t>
      </w:r>
      <w:r>
        <w:rPr>
          <w:rFonts w:hint="eastAsia" w:ascii="仿宋" w:hAnsi="仿宋" w:eastAsia="仿宋" w:cs="仿宋"/>
          <w:b/>
          <w:color w:val="auto"/>
          <w:szCs w:val="21"/>
        </w:rPr>
        <w:t>【须知前附表】</w:t>
      </w:r>
      <w:r>
        <w:rPr>
          <w:rFonts w:hint="eastAsia" w:ascii="仿宋" w:hAnsi="仿宋" w:eastAsia="仿宋" w:cs="仿宋"/>
          <w:color w:val="auto"/>
          <w:szCs w:val="21"/>
        </w:rPr>
        <w:t>。</w:t>
      </w:r>
    </w:p>
    <w:p w14:paraId="3410D208">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 xml:space="preserve">13. </w:t>
      </w:r>
      <w:r>
        <w:rPr>
          <w:rFonts w:hint="eastAsia" w:ascii="仿宋" w:hAnsi="仿宋" w:eastAsia="仿宋" w:cs="仿宋"/>
          <w:b/>
          <w:color w:val="auto"/>
          <w:szCs w:val="21"/>
          <w:lang w:eastAsia="zh-CN"/>
        </w:rPr>
        <w:t>采购文件</w:t>
      </w:r>
      <w:r>
        <w:rPr>
          <w:rFonts w:hint="eastAsia" w:ascii="仿宋" w:hAnsi="仿宋" w:eastAsia="仿宋" w:cs="仿宋"/>
          <w:b/>
          <w:color w:val="auto"/>
          <w:szCs w:val="21"/>
        </w:rPr>
        <w:t>的澄清或者修改</w:t>
      </w:r>
    </w:p>
    <w:p w14:paraId="7D018042">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13.1在本章第12.1款规定的提交首次响应文件截止之日前，采购人、采购代理机构或者</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可以对已发出的</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 xml:space="preserve">进行必要的澄清或者修改。 </w:t>
      </w:r>
    </w:p>
    <w:p w14:paraId="02682B90">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13.2澄清或者修改的内容可能影响响应文件编制的，采购人、采购代理机构应当在提交首次响应文件截止时间至少5日前，发布更正公告，不足5日的采购人、采购代理机构应当顺延首次响应文件截止时间。</w:t>
      </w:r>
    </w:p>
    <w:p w14:paraId="7785F344">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13.3提交首次响应文件截止时间前对</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澄清或者修改内容，为</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的组成部分。</w:t>
      </w:r>
    </w:p>
    <w:p w14:paraId="4E481354">
      <w:pPr>
        <w:keepNext w:val="0"/>
        <w:keepLines w:val="0"/>
        <w:pageBreakBefore w:val="0"/>
        <w:kinsoku/>
        <w:overflowPunct/>
        <w:topLinePunct w:val="0"/>
        <w:autoSpaceDE/>
        <w:autoSpaceDN/>
        <w:bidi w:val="0"/>
        <w:spacing w:line="420" w:lineRule="exact"/>
        <w:textAlignment w:val="auto"/>
        <w:outlineLvl w:val="2"/>
        <w:rPr>
          <w:rFonts w:hint="eastAsia" w:ascii="仿宋" w:hAnsi="仿宋" w:eastAsia="仿宋" w:cs="仿宋"/>
          <w:b/>
          <w:bCs/>
          <w:color w:val="auto"/>
          <w:szCs w:val="21"/>
        </w:rPr>
      </w:pPr>
      <w:bookmarkStart w:id="63" w:name="_Toc9058"/>
      <w:bookmarkStart w:id="64" w:name="_Toc5483"/>
      <w:bookmarkStart w:id="65" w:name="_Toc12153"/>
      <w:r>
        <w:rPr>
          <w:rFonts w:hint="eastAsia" w:ascii="仿宋" w:hAnsi="仿宋" w:eastAsia="仿宋" w:cs="仿宋"/>
          <w:b/>
          <w:bCs/>
          <w:color w:val="auto"/>
          <w:szCs w:val="21"/>
        </w:rPr>
        <w:t>三、响应文件</w:t>
      </w:r>
      <w:bookmarkEnd w:id="63"/>
      <w:bookmarkEnd w:id="64"/>
      <w:bookmarkEnd w:id="65"/>
    </w:p>
    <w:p w14:paraId="52A40D69">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14.一般要求</w:t>
      </w:r>
    </w:p>
    <w:p w14:paraId="4C3A0614">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14.1 供应商应仔细阅读</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的所有内容，按</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的要求编制响应文件，并保证所提供的全部资料的真实性，以使其响应文件对</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做出实质性的响应。</w:t>
      </w:r>
    </w:p>
    <w:p w14:paraId="3295179A">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14.2 供应商提交的响应文件及供应商与采购人或采购代理机构、</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就有关所有来往函电均使用中文。供应商可以提交其它语言的资料，但应附中文注释，在有差异时以中文为准。</w:t>
      </w:r>
    </w:p>
    <w:p w14:paraId="3E33E25E">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14.3 计量单位应使用我国法定计量单位，未列明时应默认为我国法定计量单位。</w:t>
      </w:r>
    </w:p>
    <w:p w14:paraId="7A88CEDF">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14.4 响应文件应采用书面形式，电报、传真、电子邮件形式的响应文件概不接受。</w:t>
      </w:r>
    </w:p>
    <w:p w14:paraId="7C523199">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14.5 供应商应按</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中提供的响应文件格式填写。</w:t>
      </w:r>
    </w:p>
    <w:p w14:paraId="5BF536AA">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15. 响应文件的组成</w:t>
      </w:r>
    </w:p>
    <w:p w14:paraId="36E8888F">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 xml:space="preserve">15.1 响应文件包括下列内容： </w:t>
      </w:r>
    </w:p>
    <w:p w14:paraId="090BE3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一、响应声明</w:t>
      </w:r>
    </w:p>
    <w:p w14:paraId="74D16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二、</w:t>
      </w:r>
      <w:r>
        <w:rPr>
          <w:rFonts w:hint="eastAsia" w:ascii="仿宋" w:hAnsi="仿宋" w:eastAsia="仿宋" w:cs="仿宋"/>
          <w:b w:val="0"/>
          <w:bCs w:val="0"/>
          <w:color w:val="auto"/>
          <w:sz w:val="21"/>
          <w:szCs w:val="21"/>
          <w:highlight w:val="none"/>
          <w:lang w:val="en-US" w:eastAsia="zh-CN"/>
        </w:rPr>
        <w:t>报价一览表</w:t>
      </w:r>
    </w:p>
    <w:p w14:paraId="77513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三、</w:t>
      </w:r>
      <w:r>
        <w:rPr>
          <w:rFonts w:hint="eastAsia" w:ascii="仿宋" w:hAnsi="仿宋" w:eastAsia="仿宋" w:cs="仿宋"/>
          <w:b w:val="0"/>
          <w:bCs w:val="0"/>
          <w:color w:val="auto"/>
          <w:sz w:val="21"/>
          <w:szCs w:val="21"/>
          <w:highlight w:val="none"/>
          <w:lang w:val="en-US" w:eastAsia="zh-CN"/>
        </w:rPr>
        <w:t>联合体协议</w:t>
      </w:r>
    </w:p>
    <w:p w14:paraId="5D80DE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四、</w:t>
      </w:r>
      <w:r>
        <w:rPr>
          <w:rFonts w:hint="eastAsia" w:ascii="仿宋" w:hAnsi="仿宋" w:eastAsia="仿宋" w:cs="仿宋"/>
          <w:b w:val="0"/>
          <w:bCs w:val="0"/>
          <w:color w:val="auto"/>
          <w:sz w:val="21"/>
          <w:szCs w:val="21"/>
          <w:highlight w:val="none"/>
        </w:rPr>
        <w:t>供应商的资格证明材料</w:t>
      </w:r>
    </w:p>
    <w:p w14:paraId="20A1C7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五</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方案说明</w:t>
      </w:r>
    </w:p>
    <w:p w14:paraId="26D8A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六、技术或商务响应偏离表</w:t>
      </w:r>
    </w:p>
    <w:p w14:paraId="67384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七</w:t>
      </w:r>
      <w:r>
        <w:rPr>
          <w:rFonts w:hint="eastAsia" w:ascii="仿宋" w:hAnsi="仿宋" w:eastAsia="仿宋" w:cs="仿宋"/>
          <w:b w:val="0"/>
          <w:bCs w:val="0"/>
          <w:color w:val="auto"/>
          <w:sz w:val="21"/>
          <w:szCs w:val="21"/>
          <w:highlight w:val="none"/>
        </w:rPr>
        <w:t>、提供享受</w:t>
      </w:r>
      <w:r>
        <w:rPr>
          <w:rFonts w:hint="eastAsia" w:ascii="仿宋" w:hAnsi="仿宋" w:eastAsia="仿宋" w:cs="仿宋"/>
          <w:b w:val="0"/>
          <w:bCs w:val="0"/>
          <w:color w:val="auto"/>
          <w:sz w:val="21"/>
          <w:szCs w:val="21"/>
          <w:highlight w:val="none"/>
          <w:lang w:eastAsia="zh-CN"/>
        </w:rPr>
        <w:t>采购</w:t>
      </w:r>
      <w:r>
        <w:rPr>
          <w:rFonts w:hint="eastAsia" w:ascii="仿宋" w:hAnsi="仿宋" w:eastAsia="仿宋" w:cs="仿宋"/>
          <w:b w:val="0"/>
          <w:bCs w:val="0"/>
          <w:color w:val="auto"/>
          <w:sz w:val="21"/>
          <w:szCs w:val="21"/>
          <w:highlight w:val="none"/>
        </w:rPr>
        <w:t>政策的证明材料和清单表</w:t>
      </w:r>
    </w:p>
    <w:p w14:paraId="26E7F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八、</w:t>
      </w:r>
      <w:r>
        <w:rPr>
          <w:rFonts w:hint="eastAsia" w:ascii="仿宋" w:hAnsi="仿宋" w:eastAsia="仿宋" w:cs="仿宋"/>
          <w:b w:val="0"/>
          <w:bCs w:val="0"/>
          <w:color w:val="auto"/>
          <w:sz w:val="21"/>
          <w:szCs w:val="21"/>
          <w:highlight w:val="none"/>
        </w:rPr>
        <w:t>供应商认为需要提供的其它资料</w:t>
      </w:r>
    </w:p>
    <w:p w14:paraId="75995EE0">
      <w:pPr>
        <w:pStyle w:val="11"/>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九、报价</w:t>
      </w:r>
      <w:r>
        <w:rPr>
          <w:rFonts w:hint="eastAsia" w:ascii="仿宋" w:hAnsi="仿宋" w:eastAsia="仿宋" w:cs="仿宋"/>
          <w:b w:val="0"/>
          <w:bCs w:val="0"/>
          <w:color w:val="auto"/>
          <w:sz w:val="21"/>
          <w:szCs w:val="21"/>
          <w:highlight w:val="none"/>
        </w:rPr>
        <w:t>表及</w:t>
      </w:r>
      <w:r>
        <w:rPr>
          <w:rFonts w:hint="eastAsia" w:ascii="仿宋" w:hAnsi="仿宋" w:eastAsia="仿宋" w:cs="仿宋"/>
          <w:b w:val="0"/>
          <w:bCs w:val="0"/>
          <w:color w:val="auto"/>
          <w:sz w:val="21"/>
          <w:szCs w:val="21"/>
          <w:highlight w:val="none"/>
          <w:lang w:val="en-US" w:eastAsia="zh-CN"/>
        </w:rPr>
        <w:t>分项价格表</w:t>
      </w:r>
    </w:p>
    <w:p w14:paraId="22887308">
      <w:pPr>
        <w:pStyle w:val="11"/>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十、最后报价表</w:t>
      </w:r>
    </w:p>
    <w:p w14:paraId="17AA4141">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15.2在</w:t>
      </w:r>
      <w:r>
        <w:rPr>
          <w:rFonts w:hint="eastAsia" w:ascii="仿宋" w:hAnsi="仿宋" w:eastAsia="仿宋" w:cs="仿宋"/>
          <w:color w:val="auto"/>
          <w:szCs w:val="21"/>
          <w:lang w:val="en-US" w:eastAsia="zh-CN"/>
        </w:rPr>
        <w:t>评审</w:t>
      </w:r>
      <w:r>
        <w:rPr>
          <w:rFonts w:hint="eastAsia" w:ascii="仿宋" w:hAnsi="仿宋" w:eastAsia="仿宋" w:cs="仿宋"/>
          <w:color w:val="auto"/>
          <w:szCs w:val="21"/>
        </w:rPr>
        <w:t>过程中，供应商根据</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书面形式要求提交的</w:t>
      </w:r>
      <w:r>
        <w:rPr>
          <w:rFonts w:hint="eastAsia" w:ascii="仿宋" w:hAnsi="仿宋" w:eastAsia="仿宋" w:cs="仿宋"/>
          <w:color w:val="auto"/>
          <w:szCs w:val="21"/>
          <w:lang w:eastAsia="zh-CN"/>
        </w:rPr>
        <w:t>报价</w:t>
      </w:r>
      <w:r>
        <w:rPr>
          <w:rFonts w:hint="eastAsia" w:ascii="仿宋" w:hAnsi="仿宋" w:eastAsia="仿宋" w:cs="仿宋"/>
          <w:color w:val="auto"/>
          <w:szCs w:val="21"/>
        </w:rPr>
        <w:t>(或者重新提交的响应文件和</w:t>
      </w:r>
      <w:r>
        <w:rPr>
          <w:rFonts w:hint="eastAsia" w:ascii="仿宋" w:hAnsi="仿宋" w:eastAsia="仿宋" w:cs="仿宋"/>
          <w:color w:val="auto"/>
          <w:szCs w:val="21"/>
          <w:lang w:eastAsia="zh-CN"/>
        </w:rPr>
        <w:t>报价</w:t>
      </w:r>
      <w:r>
        <w:rPr>
          <w:rFonts w:hint="eastAsia" w:ascii="仿宋" w:hAnsi="仿宋" w:eastAsia="仿宋" w:cs="仿宋"/>
          <w:color w:val="auto"/>
          <w:szCs w:val="21"/>
        </w:rPr>
        <w:t>)是响应文件的有效组成部分。</w:t>
      </w:r>
    </w:p>
    <w:p w14:paraId="03175135">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15.3</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规定可能发生实质性变动的，供应商应当在《</w:t>
      </w:r>
      <w:r>
        <w:rPr>
          <w:rFonts w:hint="eastAsia" w:ascii="仿宋" w:hAnsi="仿宋" w:eastAsia="仿宋" w:cs="仿宋"/>
          <w:color w:val="auto"/>
          <w:szCs w:val="21"/>
          <w:lang w:val="en-US" w:eastAsia="zh-CN"/>
        </w:rPr>
        <w:t>技术或商务响应偏离表</w:t>
      </w:r>
      <w:r>
        <w:rPr>
          <w:rFonts w:hint="eastAsia" w:ascii="仿宋" w:hAnsi="仿宋" w:eastAsia="仿宋" w:cs="仿宋"/>
          <w:color w:val="auto"/>
          <w:szCs w:val="21"/>
        </w:rPr>
        <w:t>》中对应内容注明。</w:t>
      </w:r>
    </w:p>
    <w:p w14:paraId="4A6AEE81">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15.4根据《</w:t>
      </w:r>
      <w:r>
        <w:rPr>
          <w:rFonts w:hint="eastAsia" w:ascii="仿宋" w:hAnsi="仿宋" w:eastAsia="仿宋" w:cs="仿宋"/>
          <w:color w:val="auto"/>
          <w:szCs w:val="21"/>
          <w:lang w:val="en-US" w:eastAsia="zh-CN"/>
        </w:rPr>
        <w:t>政府</w:t>
      </w:r>
      <w:r>
        <w:rPr>
          <w:rFonts w:hint="eastAsia" w:ascii="仿宋" w:hAnsi="仿宋" w:eastAsia="仿宋" w:cs="仿宋"/>
          <w:color w:val="auto"/>
          <w:szCs w:val="21"/>
          <w:lang w:eastAsia="zh-CN"/>
        </w:rPr>
        <w:t>采购</w:t>
      </w:r>
      <w:r>
        <w:rPr>
          <w:rFonts w:hint="eastAsia" w:ascii="仿宋" w:hAnsi="仿宋" w:eastAsia="仿宋" w:cs="仿宋"/>
          <w:color w:val="auto"/>
          <w:szCs w:val="21"/>
        </w:rPr>
        <w:t>法》第四十二条的规定，供应商无论成交与否，其响应文件不予退还。</w:t>
      </w:r>
    </w:p>
    <w:p w14:paraId="1C5C50E8">
      <w:pPr>
        <w:keepNext w:val="0"/>
        <w:keepLines w:val="0"/>
        <w:pageBreakBefore w:val="0"/>
        <w:numPr>
          <w:ilvl w:val="0"/>
          <w:numId w:val="2"/>
        </w:numPr>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报价</w:t>
      </w:r>
    </w:p>
    <w:p w14:paraId="14449478">
      <w:pPr>
        <w:keepNext w:val="0"/>
        <w:keepLines w:val="0"/>
        <w:pageBreakBefore w:val="0"/>
        <w:numPr>
          <w:ilvl w:val="0"/>
          <w:numId w:val="0"/>
        </w:numPr>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16.1供应商应当根据</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要求和范围，以人民币报价，以元为单位，保留小数点后两位。</w:t>
      </w:r>
    </w:p>
    <w:p w14:paraId="541136E6">
      <w:pPr>
        <w:keepNext w:val="0"/>
        <w:keepLines w:val="0"/>
        <w:pageBreakBefore w:val="0"/>
        <w:numPr>
          <w:ilvl w:val="0"/>
          <w:numId w:val="0"/>
        </w:numPr>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16.2供应商应按第四章“采购需求”要求及第五章“响应文件组成”格式填写。供应商在本章第12.1款规定的提交首次响应文件截止之日前修改首次报价表中的报价，应同时修改其按第五章要求填写的相应表格中的报价。</w:t>
      </w:r>
    </w:p>
    <w:p w14:paraId="45A0F367">
      <w:pPr>
        <w:keepNext w:val="0"/>
        <w:keepLines w:val="0"/>
        <w:pageBreakBefore w:val="0"/>
        <w:numPr>
          <w:ilvl w:val="0"/>
          <w:numId w:val="0"/>
        </w:numPr>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16.3</w:t>
      </w:r>
      <w:r>
        <w:rPr>
          <w:rFonts w:hint="eastAsia" w:ascii="仿宋" w:hAnsi="仿宋" w:eastAsia="仿宋" w:cs="仿宋"/>
          <w:color w:val="auto"/>
          <w:szCs w:val="21"/>
          <w:lang w:eastAsia="zh-CN"/>
        </w:rPr>
        <w:t>供应商</w:t>
      </w:r>
      <w:r>
        <w:rPr>
          <w:rFonts w:hint="eastAsia" w:ascii="仿宋" w:hAnsi="仿宋" w:eastAsia="仿宋" w:cs="仿宋"/>
          <w:color w:val="auto"/>
          <w:szCs w:val="21"/>
        </w:rPr>
        <w:t>对采购项目内容只允许有一个投标报价，否则其</w:t>
      </w:r>
      <w:r>
        <w:rPr>
          <w:rFonts w:hint="eastAsia" w:ascii="仿宋" w:hAnsi="仿宋" w:eastAsia="仿宋" w:cs="仿宋"/>
          <w:b/>
          <w:color w:val="auto"/>
          <w:szCs w:val="21"/>
        </w:rPr>
        <w:t>投标无效</w:t>
      </w:r>
      <w:r>
        <w:rPr>
          <w:rFonts w:hint="eastAsia" w:ascii="仿宋" w:hAnsi="仿宋" w:eastAsia="仿宋" w:cs="仿宋"/>
          <w:color w:val="auto"/>
          <w:szCs w:val="21"/>
        </w:rPr>
        <w:t>。</w:t>
      </w:r>
    </w:p>
    <w:p w14:paraId="4E002535">
      <w:pPr>
        <w:keepNext w:val="0"/>
        <w:keepLines w:val="0"/>
        <w:pageBreakBefore w:val="0"/>
        <w:numPr>
          <w:ilvl w:val="0"/>
          <w:numId w:val="0"/>
        </w:numPr>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16.4 </w:t>
      </w:r>
      <w:r>
        <w:rPr>
          <w:rFonts w:hint="eastAsia" w:ascii="仿宋" w:hAnsi="仿宋" w:eastAsia="仿宋" w:cs="仿宋"/>
          <w:color w:val="auto"/>
          <w:szCs w:val="21"/>
        </w:rPr>
        <w:t>响应文件中标明的价格在合同执行过程中是固定不变的，不得以任何理由予以变更。以可变动价格提交的报价将被认为是非实质响应而被拒绝。</w:t>
      </w:r>
    </w:p>
    <w:p w14:paraId="3A252A4A">
      <w:pPr>
        <w:keepNext w:val="0"/>
        <w:keepLines w:val="0"/>
        <w:pageBreakBefore w:val="0"/>
        <w:numPr>
          <w:ilvl w:val="0"/>
          <w:numId w:val="0"/>
        </w:numPr>
        <w:kinsoku/>
        <w:overflowPunct/>
        <w:topLinePunct w:val="0"/>
        <w:autoSpaceDE/>
        <w:autoSpaceDN/>
        <w:bidi w:val="0"/>
        <w:spacing w:line="420" w:lineRule="exact"/>
        <w:ind w:firstLine="422" w:firstLineChars="200"/>
        <w:textAlignment w:val="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16.</w:t>
      </w:r>
      <w:r>
        <w:rPr>
          <w:rFonts w:hint="eastAsia" w:ascii="仿宋" w:hAnsi="仿宋" w:eastAsia="仿宋" w:cs="仿宋"/>
          <w:b/>
          <w:bCs/>
          <w:color w:val="auto"/>
          <w:szCs w:val="21"/>
          <w:u w:val="single"/>
          <w:lang w:val="en-US" w:eastAsia="zh-CN"/>
        </w:rPr>
        <w:t>5</w:t>
      </w:r>
      <w:r>
        <w:rPr>
          <w:rFonts w:hint="eastAsia" w:ascii="仿宋" w:hAnsi="仿宋" w:eastAsia="仿宋" w:cs="仿宋"/>
          <w:b/>
          <w:bCs/>
          <w:color w:val="auto"/>
          <w:szCs w:val="21"/>
          <w:u w:val="single"/>
        </w:rPr>
        <w:t>供应商的报价不得超过采购项目</w:t>
      </w:r>
      <w:r>
        <w:rPr>
          <w:rFonts w:hint="eastAsia" w:ascii="仿宋" w:hAnsi="仿宋" w:eastAsia="仿宋" w:cs="仿宋"/>
          <w:b/>
          <w:bCs/>
          <w:color w:val="auto"/>
          <w:szCs w:val="21"/>
          <w:u w:val="single"/>
          <w:lang w:eastAsia="zh-CN"/>
        </w:rPr>
        <w:t>最高限价</w:t>
      </w:r>
      <w:r>
        <w:rPr>
          <w:rFonts w:hint="eastAsia" w:ascii="仿宋" w:hAnsi="仿宋" w:eastAsia="仿宋" w:cs="仿宋"/>
          <w:b/>
          <w:bCs/>
          <w:color w:val="auto"/>
          <w:szCs w:val="21"/>
          <w:u w:val="single"/>
        </w:rPr>
        <w:t>，采购项目</w:t>
      </w:r>
      <w:r>
        <w:rPr>
          <w:rFonts w:hint="eastAsia" w:ascii="仿宋" w:hAnsi="仿宋" w:eastAsia="仿宋" w:cs="仿宋"/>
          <w:b/>
          <w:bCs/>
          <w:color w:val="auto"/>
          <w:szCs w:val="21"/>
          <w:u w:val="single"/>
          <w:lang w:eastAsia="zh-CN"/>
        </w:rPr>
        <w:t>最高限价</w:t>
      </w:r>
      <w:r>
        <w:rPr>
          <w:rFonts w:hint="eastAsia" w:ascii="仿宋" w:hAnsi="仿宋" w:eastAsia="仿宋" w:cs="仿宋"/>
          <w:b/>
          <w:bCs/>
          <w:color w:val="auto"/>
          <w:szCs w:val="21"/>
          <w:u w:val="single"/>
        </w:rPr>
        <w:t>或其计算方法见【须知前附表】。</w:t>
      </w:r>
    </w:p>
    <w:p w14:paraId="2D842266">
      <w:pPr>
        <w:keepNext w:val="0"/>
        <w:keepLines w:val="0"/>
        <w:pageBreakBefore w:val="0"/>
        <w:numPr>
          <w:ilvl w:val="0"/>
          <w:numId w:val="0"/>
        </w:numPr>
        <w:kinsoku/>
        <w:overflowPunct/>
        <w:topLinePunct w:val="0"/>
        <w:autoSpaceDE/>
        <w:autoSpaceDN/>
        <w:bidi w:val="0"/>
        <w:spacing w:line="420" w:lineRule="exact"/>
        <w:ind w:firstLine="422" w:firstLineChars="200"/>
        <w:textAlignment w:val="auto"/>
        <w:rPr>
          <w:rFonts w:hint="eastAsia" w:ascii="仿宋" w:hAnsi="仿宋" w:eastAsia="仿宋" w:cs="仿宋"/>
          <w:b/>
          <w:bCs/>
          <w:color w:val="auto"/>
          <w:szCs w:val="21"/>
          <w:u w:val="single"/>
          <w:lang w:val="en-US" w:eastAsia="zh-CN"/>
        </w:rPr>
      </w:pPr>
      <w:r>
        <w:rPr>
          <w:rFonts w:hint="eastAsia" w:ascii="仿宋" w:hAnsi="仿宋" w:eastAsia="仿宋" w:cs="仿宋"/>
          <w:b/>
          <w:bCs/>
          <w:color w:val="auto"/>
          <w:szCs w:val="21"/>
          <w:u w:val="single"/>
        </w:rPr>
        <w:t>16.</w:t>
      </w:r>
      <w:r>
        <w:rPr>
          <w:rFonts w:hint="eastAsia" w:ascii="仿宋" w:hAnsi="仿宋" w:eastAsia="仿宋" w:cs="仿宋"/>
          <w:b/>
          <w:bCs/>
          <w:color w:val="auto"/>
          <w:szCs w:val="21"/>
          <w:u w:val="single"/>
          <w:lang w:val="en-US" w:eastAsia="zh-CN"/>
        </w:rPr>
        <w:t>6报价的其他要求见【须知前附表】。</w:t>
      </w:r>
    </w:p>
    <w:p w14:paraId="0B3B08AF">
      <w:pPr>
        <w:keepNext w:val="0"/>
        <w:keepLines w:val="0"/>
        <w:pageBreakBefore w:val="0"/>
        <w:numPr>
          <w:ilvl w:val="0"/>
          <w:numId w:val="0"/>
        </w:numPr>
        <w:kinsoku/>
        <w:overflowPunct/>
        <w:topLinePunct w:val="0"/>
        <w:autoSpaceDE/>
        <w:autoSpaceDN/>
        <w:bidi w:val="0"/>
        <w:spacing w:line="420" w:lineRule="exact"/>
        <w:ind w:firstLine="422" w:firstLineChars="200"/>
        <w:textAlignment w:val="auto"/>
        <w:rPr>
          <w:rFonts w:hint="eastAsia" w:ascii="仿宋" w:hAnsi="仿宋" w:eastAsia="仿宋" w:cs="仿宋"/>
          <w:b/>
          <w:bCs/>
          <w:color w:val="auto"/>
          <w:szCs w:val="21"/>
          <w:u w:val="single"/>
        </w:rPr>
      </w:pPr>
      <w:r>
        <w:rPr>
          <w:rFonts w:hint="eastAsia" w:ascii="仿宋" w:hAnsi="仿宋" w:eastAsia="仿宋" w:cs="仿宋"/>
          <w:b/>
          <w:bCs/>
          <w:color w:val="auto"/>
          <w:szCs w:val="21"/>
          <w:u w:val="single"/>
          <w:lang w:val="en-US" w:eastAsia="zh-CN"/>
        </w:rPr>
        <w:t>16.7</w:t>
      </w:r>
      <w:r>
        <w:rPr>
          <w:rFonts w:hint="eastAsia" w:ascii="仿宋" w:hAnsi="仿宋" w:eastAsia="仿宋" w:cs="仿宋"/>
          <w:b/>
          <w:bCs/>
          <w:color w:val="auto"/>
          <w:szCs w:val="21"/>
          <w:u w:val="single"/>
          <w:lang w:eastAsia="zh-CN"/>
        </w:rPr>
        <w:t>评审小组</w:t>
      </w:r>
      <w:r>
        <w:rPr>
          <w:rFonts w:hint="eastAsia" w:ascii="仿宋" w:hAnsi="仿宋" w:eastAsia="仿宋" w:cs="仿宋"/>
          <w:b/>
          <w:bCs/>
          <w:color w:val="auto"/>
          <w:szCs w:val="21"/>
          <w:u w:val="single"/>
        </w:rPr>
        <w:t>认为供应商的报价明显低于其他通过符合性审查供应商的报价，有可能影响服务质量或者不能诚信履约的，可要求其在评标现场合理的时间（</w:t>
      </w:r>
      <w:r>
        <w:rPr>
          <w:rFonts w:hint="eastAsia" w:ascii="仿宋" w:hAnsi="仿宋" w:eastAsia="仿宋" w:cs="仿宋"/>
          <w:b/>
          <w:bCs/>
          <w:color w:val="auto"/>
          <w:szCs w:val="21"/>
          <w:u w:val="single"/>
          <w:lang w:val="en-US" w:eastAsia="zh-CN"/>
        </w:rPr>
        <w:t>60</w:t>
      </w:r>
      <w:r>
        <w:rPr>
          <w:rFonts w:hint="eastAsia" w:ascii="仿宋" w:hAnsi="仿宋" w:eastAsia="仿宋" w:cs="仿宋"/>
          <w:b/>
          <w:bCs/>
          <w:color w:val="auto"/>
          <w:szCs w:val="21"/>
          <w:u w:val="single"/>
        </w:rPr>
        <w:t>分钟）内提供书面说明，必要时提交相关证明材料；供应商不能证明其报价合理性的，</w:t>
      </w:r>
      <w:r>
        <w:rPr>
          <w:rFonts w:hint="eastAsia" w:ascii="仿宋" w:hAnsi="仿宋" w:eastAsia="仿宋" w:cs="仿宋"/>
          <w:b/>
          <w:bCs/>
          <w:color w:val="auto"/>
          <w:szCs w:val="21"/>
          <w:u w:val="single"/>
          <w:lang w:eastAsia="zh-CN"/>
        </w:rPr>
        <w:t>评审小组</w:t>
      </w:r>
      <w:r>
        <w:rPr>
          <w:rFonts w:hint="eastAsia" w:ascii="仿宋" w:hAnsi="仿宋" w:eastAsia="仿宋" w:cs="仿宋"/>
          <w:b/>
          <w:bCs/>
          <w:color w:val="auto"/>
          <w:szCs w:val="21"/>
          <w:u w:val="single"/>
        </w:rPr>
        <w:t>将其作为无效响应处理。</w:t>
      </w:r>
    </w:p>
    <w:p w14:paraId="27669C8D">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17.供应商符合</w:t>
      </w:r>
      <w:r>
        <w:rPr>
          <w:rFonts w:hint="eastAsia" w:ascii="仿宋" w:hAnsi="仿宋" w:eastAsia="仿宋" w:cs="仿宋"/>
          <w:b/>
          <w:color w:val="auto"/>
          <w:szCs w:val="21"/>
          <w:lang w:eastAsia="zh-CN"/>
        </w:rPr>
        <w:t>采购文件</w:t>
      </w:r>
      <w:r>
        <w:rPr>
          <w:rFonts w:hint="eastAsia" w:ascii="仿宋" w:hAnsi="仿宋" w:eastAsia="仿宋" w:cs="仿宋"/>
          <w:b/>
          <w:color w:val="auto"/>
          <w:szCs w:val="21"/>
        </w:rPr>
        <w:t>规定的证明文件</w:t>
      </w:r>
    </w:p>
    <w:p w14:paraId="1A2BF3B9">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17.1供应商提供本章第 3.1 款规定的供应商资格条件要求的证明材料。</w:t>
      </w:r>
    </w:p>
    <w:p w14:paraId="2C06B4DC">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17.2供应商为联合体形式的，则应提交联合体各方资格文件、联合体协议，否则将视为非实质响应而被拒绝。</w:t>
      </w:r>
    </w:p>
    <w:p w14:paraId="114B35CD">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17.3除</w:t>
      </w:r>
      <w:r>
        <w:rPr>
          <w:rFonts w:hint="eastAsia" w:ascii="仿宋" w:hAnsi="仿宋" w:eastAsia="仿宋" w:cs="仿宋"/>
          <w:b/>
          <w:color w:val="auto"/>
          <w:szCs w:val="21"/>
        </w:rPr>
        <w:t>【须知前附表】</w:t>
      </w:r>
      <w:r>
        <w:rPr>
          <w:rFonts w:hint="eastAsia" w:ascii="仿宋" w:hAnsi="仿宋" w:eastAsia="仿宋" w:cs="仿宋"/>
          <w:color w:val="auto"/>
          <w:szCs w:val="21"/>
        </w:rPr>
        <w:t>另有规定外，供应商提供的货物不是供应商制造或拥有的，则必须提供经销、或代理采购货物、或采购货物提供售后服务的证明文件。</w:t>
      </w:r>
    </w:p>
    <w:p w14:paraId="47DECB40">
      <w:pPr>
        <w:keepNext w:val="0"/>
        <w:keepLines w:val="0"/>
        <w:pageBreakBefore w:val="0"/>
        <w:kinsoku/>
        <w:wordWrap w:val="0"/>
        <w:overflowPunct/>
        <w:topLinePunct w:val="0"/>
        <w:autoSpaceDE/>
        <w:autoSpaceDN/>
        <w:bidi w:val="0"/>
        <w:adjustRightInd w:val="0"/>
        <w:snapToGrid w:val="0"/>
        <w:spacing w:line="420" w:lineRule="exact"/>
        <w:ind w:firstLine="420"/>
        <w:jc w:val="left"/>
        <w:textAlignment w:val="auto"/>
        <w:rPr>
          <w:rFonts w:hint="eastAsia" w:ascii="仿宋" w:hAnsi="仿宋" w:eastAsia="仿宋" w:cs="仿宋"/>
          <w:color w:val="auto"/>
          <w:kern w:val="0"/>
          <w:szCs w:val="21"/>
        </w:rPr>
      </w:pPr>
      <w:r>
        <w:rPr>
          <w:rFonts w:hint="eastAsia" w:ascii="仿宋" w:hAnsi="仿宋" w:eastAsia="仿宋" w:cs="仿宋"/>
          <w:color w:val="auto"/>
          <w:szCs w:val="21"/>
        </w:rPr>
        <w:t>17.4</w:t>
      </w:r>
      <w:r>
        <w:rPr>
          <w:rFonts w:hint="eastAsia" w:ascii="仿宋" w:hAnsi="仿宋" w:eastAsia="仿宋" w:cs="仿宋"/>
          <w:color w:val="auto"/>
          <w:kern w:val="0"/>
          <w:szCs w:val="21"/>
        </w:rPr>
        <w:t>单一产品采购项目：提供相同品牌产品的不同供应商参加同一合同项下采购活动的，按一家供应商计算。提供不同品牌产品的供应商不足三家的，应予废标。</w:t>
      </w:r>
    </w:p>
    <w:p w14:paraId="27CDA6E6">
      <w:pPr>
        <w:pStyle w:val="46"/>
        <w:keepNext w:val="0"/>
        <w:keepLines w:val="0"/>
        <w:pageBreakBefore w:val="0"/>
        <w:widowControl w:val="0"/>
        <w:kinsoku/>
        <w:overflowPunct/>
        <w:topLinePunct w:val="0"/>
        <w:autoSpaceDE/>
        <w:autoSpaceDN/>
        <w:bidi w:val="0"/>
        <w:adjustRightInd w:val="0"/>
        <w:snapToGrid w:val="0"/>
        <w:spacing w:before="0" w:after="0" w:line="420" w:lineRule="exact"/>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17.5非单一产品采购项目：采购人或者采购代理机构将在【</w:t>
      </w:r>
      <w:r>
        <w:rPr>
          <w:rFonts w:hint="eastAsia" w:ascii="仿宋" w:hAnsi="仿宋" w:eastAsia="仿宋" w:cs="仿宋"/>
          <w:b/>
          <w:color w:val="auto"/>
          <w:sz w:val="21"/>
          <w:szCs w:val="21"/>
        </w:rPr>
        <w:t>须知前附表</w:t>
      </w:r>
      <w:r>
        <w:rPr>
          <w:rFonts w:hint="eastAsia" w:ascii="仿宋" w:hAnsi="仿宋" w:eastAsia="仿宋" w:cs="仿宋"/>
          <w:color w:val="auto"/>
          <w:sz w:val="21"/>
          <w:szCs w:val="21"/>
        </w:rPr>
        <w:t>】中载明核心产品。多家供应商提供的核心产品品牌相同的，视为相同品牌，按本章第17.4款规定处理。</w:t>
      </w:r>
    </w:p>
    <w:p w14:paraId="472FBFAE">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bCs/>
          <w:color w:val="auto"/>
          <w:szCs w:val="21"/>
        </w:rPr>
        <w:t>17.6单一产品采购项目：</w:t>
      </w:r>
      <w:r>
        <w:rPr>
          <w:rFonts w:hint="eastAsia" w:ascii="仿宋" w:hAnsi="仿宋" w:eastAsia="仿宋" w:cs="仿宋"/>
          <w:color w:val="auto"/>
          <w:szCs w:val="21"/>
        </w:rPr>
        <w:t>提供相同品牌产品且通过资格性审查、符合性审查的不同供应商参加同一合同项下采购活动的，评审后得分最高的同品牌</w:t>
      </w:r>
      <w:r>
        <w:rPr>
          <w:rFonts w:hint="eastAsia" w:ascii="仿宋" w:hAnsi="仿宋" w:eastAsia="仿宋" w:cs="仿宋"/>
          <w:color w:val="auto"/>
          <w:kern w:val="0"/>
          <w:szCs w:val="21"/>
        </w:rPr>
        <w:t>供应商</w:t>
      </w:r>
      <w:r>
        <w:rPr>
          <w:rFonts w:hint="eastAsia" w:ascii="仿宋" w:hAnsi="仿宋" w:eastAsia="仿宋" w:cs="仿宋"/>
          <w:color w:val="auto"/>
          <w:szCs w:val="21"/>
        </w:rPr>
        <w:t>获得成交</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推荐资格；评审得分相同的，按照</w:t>
      </w:r>
      <w:r>
        <w:rPr>
          <w:rFonts w:hint="eastAsia" w:ascii="仿宋" w:hAnsi="仿宋" w:eastAsia="仿宋" w:cs="仿宋"/>
          <w:b/>
          <w:color w:val="auto"/>
          <w:szCs w:val="21"/>
        </w:rPr>
        <w:t>【</w:t>
      </w:r>
      <w:r>
        <w:rPr>
          <w:rFonts w:hint="eastAsia" w:ascii="仿宋" w:hAnsi="仿宋" w:eastAsia="仿宋" w:cs="仿宋"/>
          <w:b/>
          <w:color w:val="auto"/>
          <w:kern w:val="0"/>
          <w:szCs w:val="21"/>
        </w:rPr>
        <w:t>须知前附表</w:t>
      </w:r>
      <w:r>
        <w:rPr>
          <w:rFonts w:hint="eastAsia" w:ascii="仿宋" w:hAnsi="仿宋" w:eastAsia="仿宋" w:cs="仿宋"/>
          <w:b/>
          <w:color w:val="auto"/>
          <w:szCs w:val="21"/>
        </w:rPr>
        <w:t>】</w:t>
      </w:r>
      <w:r>
        <w:rPr>
          <w:rFonts w:hint="eastAsia" w:ascii="仿宋" w:hAnsi="仿宋" w:eastAsia="仿宋" w:cs="仿宋"/>
          <w:color w:val="auto"/>
          <w:szCs w:val="21"/>
        </w:rPr>
        <w:t>规定的方式确定一个供应商获得成交</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推荐资格，</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未规定的采取随机抽取方式确定，其他同品牌</w:t>
      </w:r>
      <w:r>
        <w:rPr>
          <w:rFonts w:hint="eastAsia" w:ascii="仿宋" w:hAnsi="仿宋" w:eastAsia="仿宋" w:cs="仿宋"/>
          <w:color w:val="auto"/>
          <w:kern w:val="0"/>
          <w:szCs w:val="21"/>
        </w:rPr>
        <w:t>供应商</w:t>
      </w:r>
      <w:r>
        <w:rPr>
          <w:rFonts w:hint="eastAsia" w:ascii="仿宋" w:hAnsi="仿宋" w:eastAsia="仿宋" w:cs="仿宋"/>
          <w:b/>
          <w:color w:val="auto"/>
          <w:szCs w:val="21"/>
        </w:rPr>
        <w:t>不作为成交候选人</w:t>
      </w:r>
      <w:r>
        <w:rPr>
          <w:rFonts w:hint="eastAsia" w:ascii="仿宋" w:hAnsi="仿宋" w:eastAsia="仿宋" w:cs="仿宋"/>
          <w:color w:val="auto"/>
          <w:szCs w:val="21"/>
        </w:rPr>
        <w:t>。</w:t>
      </w:r>
    </w:p>
    <w:p w14:paraId="23FEABB2">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b/>
          <w:bCs/>
          <w:color w:val="auto"/>
          <w:szCs w:val="21"/>
        </w:rPr>
      </w:pPr>
      <w:r>
        <w:rPr>
          <w:rFonts w:hint="eastAsia" w:ascii="仿宋" w:hAnsi="仿宋" w:eastAsia="仿宋" w:cs="仿宋"/>
          <w:bCs/>
          <w:color w:val="auto"/>
          <w:szCs w:val="21"/>
        </w:rPr>
        <w:t>17.7非单一产品采购项目：多家</w:t>
      </w:r>
      <w:r>
        <w:rPr>
          <w:rFonts w:hint="eastAsia" w:ascii="仿宋" w:hAnsi="仿宋" w:eastAsia="仿宋" w:cs="仿宋"/>
          <w:color w:val="auto"/>
          <w:kern w:val="0"/>
          <w:szCs w:val="21"/>
        </w:rPr>
        <w:t>供应商</w:t>
      </w:r>
      <w:r>
        <w:rPr>
          <w:rFonts w:hint="eastAsia" w:ascii="仿宋" w:hAnsi="仿宋" w:eastAsia="仿宋" w:cs="仿宋"/>
          <w:bCs/>
          <w:color w:val="auto"/>
          <w:szCs w:val="21"/>
        </w:rPr>
        <w:t>提供的核心产品品牌相同的，视为相同品牌，按本章第17.6款规定处理。</w:t>
      </w:r>
    </w:p>
    <w:p w14:paraId="6190FC79">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18．样品提供</w:t>
      </w:r>
    </w:p>
    <w:p w14:paraId="0732FA68">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18.1</w:t>
      </w:r>
      <w:r>
        <w:rPr>
          <w:rFonts w:hint="eastAsia" w:ascii="仿宋" w:hAnsi="仿宋" w:eastAsia="仿宋" w:cs="仿宋"/>
          <w:b/>
          <w:color w:val="auto"/>
          <w:szCs w:val="21"/>
        </w:rPr>
        <w:t>【须知前附表】</w:t>
      </w:r>
      <w:r>
        <w:rPr>
          <w:rFonts w:hint="eastAsia" w:ascii="仿宋" w:hAnsi="仿宋" w:eastAsia="仿宋" w:cs="仿宋"/>
          <w:color w:val="auto"/>
          <w:szCs w:val="21"/>
        </w:rPr>
        <w:t>规定</w:t>
      </w:r>
      <w:r>
        <w:rPr>
          <w:rFonts w:hint="eastAsia" w:ascii="仿宋" w:hAnsi="仿宋" w:eastAsia="仿宋" w:cs="仿宋"/>
          <w:bCs/>
          <w:color w:val="auto"/>
          <w:szCs w:val="21"/>
        </w:rPr>
        <w:t>供应商</w:t>
      </w:r>
      <w:r>
        <w:rPr>
          <w:rFonts w:hint="eastAsia" w:ascii="仿宋" w:hAnsi="仿宋" w:eastAsia="仿宋" w:cs="仿宋"/>
          <w:color w:val="auto"/>
          <w:szCs w:val="21"/>
        </w:rPr>
        <w:t>在</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时提供样品的，</w:t>
      </w:r>
      <w:r>
        <w:rPr>
          <w:rFonts w:hint="eastAsia" w:ascii="仿宋" w:hAnsi="仿宋" w:eastAsia="仿宋" w:cs="仿宋"/>
          <w:bCs/>
          <w:color w:val="auto"/>
          <w:szCs w:val="21"/>
        </w:rPr>
        <w:t>供应商</w:t>
      </w:r>
      <w:r>
        <w:rPr>
          <w:rFonts w:hint="eastAsia" w:ascii="仿宋" w:hAnsi="仿宋" w:eastAsia="仿宋" w:cs="仿宋"/>
          <w:color w:val="auto"/>
          <w:szCs w:val="21"/>
        </w:rPr>
        <w:t>有以下情形之一的，在评审时将其视为无效响应。</w:t>
      </w:r>
    </w:p>
    <w:p w14:paraId="1FD5E1BE">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（1）未在须知前附表规定的提交时间、地点提交的；</w:t>
      </w:r>
    </w:p>
    <w:p w14:paraId="123363A9">
      <w:pPr>
        <w:keepNext w:val="0"/>
        <w:keepLines w:val="0"/>
        <w:pageBreakBefore w:val="0"/>
        <w:kinsoku/>
        <w:overflowPunct/>
        <w:topLinePunct w:val="0"/>
        <w:autoSpaceDE/>
        <w:autoSpaceDN/>
        <w:bidi w:val="0"/>
        <w:adjustRightInd w:val="0"/>
        <w:snapToGrid w:val="0"/>
        <w:spacing w:line="420" w:lineRule="exact"/>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Cs/>
          <w:color w:val="auto"/>
          <w:szCs w:val="21"/>
        </w:rPr>
        <w:t>供应商</w:t>
      </w:r>
      <w:r>
        <w:rPr>
          <w:rFonts w:hint="eastAsia" w:ascii="仿宋" w:hAnsi="仿宋" w:eastAsia="仿宋" w:cs="仿宋"/>
          <w:color w:val="auto"/>
          <w:szCs w:val="21"/>
        </w:rPr>
        <w:t>提供的样品与响应文件中提供样品的型号、规格不一致的。</w:t>
      </w:r>
    </w:p>
    <w:p w14:paraId="2687B203">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lang w:eastAsia="zh-CN"/>
        </w:rPr>
      </w:pPr>
      <w:r>
        <w:rPr>
          <w:rFonts w:hint="eastAsia" w:ascii="仿宋" w:hAnsi="仿宋" w:eastAsia="仿宋" w:cs="仿宋"/>
          <w:b/>
          <w:color w:val="auto"/>
          <w:szCs w:val="21"/>
        </w:rPr>
        <w:t>19.保证金</w:t>
      </w:r>
      <w:r>
        <w:rPr>
          <w:rFonts w:hint="eastAsia" w:ascii="仿宋" w:hAnsi="仿宋" w:eastAsia="仿宋" w:cs="仿宋"/>
          <w:b/>
          <w:color w:val="auto"/>
          <w:szCs w:val="21"/>
          <w:lang w:eastAsia="zh-CN"/>
        </w:rPr>
        <w:t>（本项目不适用）</w:t>
      </w:r>
    </w:p>
    <w:p w14:paraId="7FE5A431">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19.1</w:t>
      </w:r>
      <w:r>
        <w:rPr>
          <w:rFonts w:hint="eastAsia" w:ascii="仿宋" w:hAnsi="仿宋" w:eastAsia="仿宋" w:cs="仿宋"/>
          <w:b/>
          <w:color w:val="auto"/>
          <w:szCs w:val="21"/>
        </w:rPr>
        <w:t>【须知前附表】</w:t>
      </w:r>
      <w:r>
        <w:rPr>
          <w:rFonts w:hint="eastAsia" w:ascii="仿宋" w:hAnsi="仿宋" w:eastAsia="仿宋" w:cs="仿宋"/>
          <w:color w:val="auto"/>
          <w:szCs w:val="21"/>
        </w:rPr>
        <w:t>规定交纳保证金的，应按须知前附表规定的保证金形式交纳，在本章第12.1款规定的提交首次响应文件截止时间前，向采购代理机构交纳的保证金。保证金有效期应当与本章第20.1款规定的响应文件有效期一致。</w:t>
      </w:r>
    </w:p>
    <w:p w14:paraId="7E537F87">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19.2供应商为联合体的，可以由联合体中的一方或者共同交纳保证金，其交纳的保证金，对联合体各方均具有约束力。</w:t>
      </w:r>
    </w:p>
    <w:p w14:paraId="6E70C490">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19.3 未按</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规定提交保证金的，采购人或采购代理机构应当拒绝接收供应商的响应文件。</w:t>
      </w:r>
    </w:p>
    <w:p w14:paraId="41F6F24D">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19.4采购代理机构在成交通知书发出后5个工作日内退还未成交供应商的保证金；在采购合同签</w:t>
      </w:r>
      <w:r>
        <w:rPr>
          <w:rFonts w:hint="eastAsia" w:ascii="仿宋" w:hAnsi="仿宋" w:eastAsia="仿宋" w:cs="仿宋"/>
          <w:color w:val="auto"/>
          <w:szCs w:val="21"/>
          <w:lang w:eastAsia="zh-CN"/>
        </w:rPr>
        <w:t>订</w:t>
      </w:r>
      <w:r>
        <w:rPr>
          <w:rFonts w:hint="eastAsia" w:ascii="仿宋" w:hAnsi="仿宋" w:eastAsia="仿宋" w:cs="仿宋"/>
          <w:color w:val="auto"/>
          <w:szCs w:val="21"/>
        </w:rPr>
        <w:t>后5个工作日内退还成交供应商的保证金，但因供应商自身原因导致无法及时退还的除外。</w:t>
      </w:r>
    </w:p>
    <w:p w14:paraId="6455A9B7">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19.5 有下列情形之一的，保证金不予退还，并上缴本级财政国库：</w:t>
      </w:r>
    </w:p>
    <w:p w14:paraId="5606AD58">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（1）供应商在本章第12.1款规定的提交首次响应文件截止时间后撤回响应文件的；</w:t>
      </w:r>
    </w:p>
    <w:p w14:paraId="207F10E3">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（2）供应商在响应文件中提供虚假材料的；</w:t>
      </w:r>
    </w:p>
    <w:p w14:paraId="3DB363FF">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（3）除因不可抗力或</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认可的情形以外，成交供应商不与采购人签订合同的；</w:t>
      </w:r>
    </w:p>
    <w:p w14:paraId="16AE6F25">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（4）供应商与采购人、其他供应商或者采购代理机构恶意串通的；</w:t>
      </w:r>
    </w:p>
    <w:p w14:paraId="1F4EB60D">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（5）</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规定的其他情形。</w:t>
      </w:r>
    </w:p>
    <w:p w14:paraId="5DE3BC0E">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20. 响应文件有效期</w:t>
      </w:r>
    </w:p>
    <w:p w14:paraId="7BC3D941">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20.1响应文件有效期见</w:t>
      </w:r>
      <w:r>
        <w:rPr>
          <w:rFonts w:hint="eastAsia" w:ascii="仿宋" w:hAnsi="仿宋" w:eastAsia="仿宋" w:cs="仿宋"/>
          <w:b/>
          <w:color w:val="auto"/>
          <w:szCs w:val="21"/>
        </w:rPr>
        <w:t>【须知前附表】</w:t>
      </w:r>
      <w:r>
        <w:rPr>
          <w:rFonts w:hint="eastAsia" w:ascii="仿宋" w:hAnsi="仿宋" w:eastAsia="仿宋" w:cs="仿宋"/>
          <w:color w:val="auto"/>
          <w:szCs w:val="21"/>
        </w:rPr>
        <w:t>，在此期间响应文件对供应商具有法律约束力，从本章第12.1款规定的提交首次响应文件截止时间之日起计算。响应文件有效期不足的将被视为无效响应。</w:t>
      </w:r>
    </w:p>
    <w:p w14:paraId="32BDEF6F">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21.</w:t>
      </w:r>
      <w:r>
        <w:rPr>
          <w:rFonts w:hint="eastAsia" w:ascii="仿宋" w:hAnsi="仿宋" w:eastAsia="仿宋" w:cs="仿宋"/>
          <w:b/>
          <w:color w:val="auto"/>
          <w:szCs w:val="21"/>
          <w:lang w:val="en-US" w:eastAsia="zh-CN"/>
        </w:rPr>
        <w:t>响应</w:t>
      </w:r>
      <w:r>
        <w:rPr>
          <w:rFonts w:hint="eastAsia" w:ascii="仿宋" w:hAnsi="仿宋" w:eastAsia="仿宋" w:cs="仿宋"/>
          <w:b/>
          <w:color w:val="auto"/>
          <w:szCs w:val="21"/>
        </w:rPr>
        <w:t>文件的编制和签署</w:t>
      </w:r>
    </w:p>
    <w:p w14:paraId="0091814C">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lang w:val="en-US" w:eastAsia="zh-CN"/>
        </w:rPr>
        <w:t>21</w:t>
      </w:r>
      <w:r>
        <w:rPr>
          <w:rFonts w:hint="eastAsia" w:ascii="仿宋" w:hAnsi="仿宋" w:eastAsia="仿宋" w:cs="仿宋"/>
          <w:b/>
          <w:color w:val="auto"/>
          <w:szCs w:val="21"/>
        </w:rPr>
        <w:t>.1</w:t>
      </w:r>
      <w:r>
        <w:rPr>
          <w:rFonts w:hint="eastAsia" w:ascii="仿宋" w:hAnsi="仿宋" w:eastAsia="仿宋" w:cs="仿宋"/>
          <w:b/>
          <w:color w:val="auto"/>
          <w:szCs w:val="21"/>
          <w:lang w:val="en-US" w:eastAsia="zh-CN"/>
        </w:rPr>
        <w:t>响应</w:t>
      </w:r>
      <w:r>
        <w:rPr>
          <w:rFonts w:hint="eastAsia" w:ascii="仿宋" w:hAnsi="仿宋" w:eastAsia="仿宋" w:cs="仿宋"/>
          <w:b/>
          <w:color w:val="auto"/>
          <w:szCs w:val="21"/>
        </w:rPr>
        <w:t>文件份数见【须知前附表】。</w:t>
      </w:r>
    </w:p>
    <w:p w14:paraId="6BC53037">
      <w:pPr>
        <w:keepNext w:val="0"/>
        <w:keepLines w:val="0"/>
        <w:pageBreakBefore w:val="0"/>
        <w:kinsoku/>
        <w:overflowPunct/>
        <w:topLinePunct w:val="0"/>
        <w:autoSpaceDE/>
        <w:autoSpaceDN/>
        <w:bidi w:val="0"/>
        <w:spacing w:line="420" w:lineRule="exact"/>
        <w:textAlignment w:val="auto"/>
        <w:outlineLvl w:val="2"/>
        <w:rPr>
          <w:rFonts w:hint="eastAsia" w:ascii="仿宋" w:hAnsi="仿宋" w:eastAsia="仿宋" w:cs="仿宋"/>
          <w:b/>
          <w:bCs/>
          <w:color w:val="auto"/>
          <w:szCs w:val="21"/>
        </w:rPr>
      </w:pPr>
      <w:bookmarkStart w:id="66" w:name="_Toc8642"/>
      <w:bookmarkStart w:id="67" w:name="_Toc25483"/>
      <w:bookmarkStart w:id="68" w:name="_Toc17740"/>
      <w:r>
        <w:rPr>
          <w:rFonts w:hint="eastAsia" w:ascii="仿宋" w:hAnsi="仿宋" w:eastAsia="仿宋" w:cs="仿宋"/>
          <w:b/>
          <w:bCs/>
          <w:color w:val="auto"/>
          <w:szCs w:val="21"/>
        </w:rPr>
        <w:t>四、响应文件的递交</w:t>
      </w:r>
      <w:bookmarkEnd w:id="66"/>
      <w:bookmarkEnd w:id="67"/>
      <w:bookmarkEnd w:id="68"/>
    </w:p>
    <w:p w14:paraId="0C3C3B2B">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22.</w:t>
      </w:r>
      <w:r>
        <w:rPr>
          <w:rFonts w:hint="eastAsia" w:ascii="仿宋" w:hAnsi="仿宋" w:eastAsia="仿宋" w:cs="仿宋"/>
          <w:b/>
          <w:bCs/>
          <w:color w:val="auto"/>
          <w:szCs w:val="21"/>
        </w:rPr>
        <w:t>响应文件的递交</w:t>
      </w:r>
    </w:p>
    <w:p w14:paraId="405437E4">
      <w:pPr>
        <w:keepNext w:val="0"/>
        <w:keepLines w:val="0"/>
        <w:pageBreakBefore w:val="0"/>
        <w:numPr>
          <w:ilvl w:val="0"/>
          <w:numId w:val="0"/>
        </w:numPr>
        <w:kinsoku/>
        <w:overflowPunct/>
        <w:topLinePunct w:val="0"/>
        <w:autoSpaceDE/>
        <w:autoSpaceDN/>
        <w:bidi w:val="0"/>
        <w:spacing w:line="420" w:lineRule="exact"/>
        <w:ind w:firstLine="422" w:firstLineChars="200"/>
        <w:textAlignment w:val="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2</w:t>
      </w:r>
      <w:r>
        <w:rPr>
          <w:rFonts w:hint="eastAsia" w:ascii="仿宋" w:hAnsi="仿宋" w:eastAsia="仿宋" w:cs="仿宋"/>
          <w:b/>
          <w:bCs/>
          <w:color w:val="auto"/>
          <w:szCs w:val="21"/>
          <w:u w:val="single"/>
          <w:lang w:val="en-US" w:eastAsia="zh-CN"/>
        </w:rPr>
        <w:t>2</w:t>
      </w:r>
      <w:r>
        <w:rPr>
          <w:rFonts w:hint="eastAsia" w:ascii="仿宋" w:hAnsi="仿宋" w:eastAsia="仿宋" w:cs="仿宋"/>
          <w:b/>
          <w:bCs/>
          <w:color w:val="auto"/>
          <w:szCs w:val="21"/>
          <w:u w:val="single"/>
        </w:rPr>
        <w:t>.</w:t>
      </w:r>
      <w:r>
        <w:rPr>
          <w:rFonts w:hint="eastAsia" w:ascii="仿宋" w:hAnsi="仿宋" w:eastAsia="仿宋" w:cs="仿宋"/>
          <w:b/>
          <w:bCs/>
          <w:color w:val="auto"/>
          <w:szCs w:val="21"/>
          <w:u w:val="single"/>
          <w:lang w:val="en-US" w:eastAsia="zh-CN"/>
        </w:rPr>
        <w:t>1采购文件</w:t>
      </w:r>
      <w:r>
        <w:rPr>
          <w:rFonts w:hint="eastAsia" w:ascii="仿宋" w:hAnsi="仿宋" w:eastAsia="仿宋" w:cs="仿宋"/>
          <w:b/>
          <w:bCs/>
          <w:color w:val="auto"/>
          <w:szCs w:val="21"/>
          <w:u w:val="single"/>
        </w:rPr>
        <w:t>中要求</w:t>
      </w:r>
      <w:r>
        <w:rPr>
          <w:rFonts w:hint="eastAsia" w:ascii="仿宋" w:hAnsi="仿宋" w:eastAsia="仿宋" w:cs="仿宋"/>
          <w:b/>
          <w:bCs/>
          <w:color w:val="auto"/>
          <w:szCs w:val="21"/>
          <w:u w:val="single"/>
          <w:lang w:eastAsia="zh-CN"/>
        </w:rPr>
        <w:t>供应商</w:t>
      </w:r>
      <w:r>
        <w:rPr>
          <w:rFonts w:hint="eastAsia" w:ascii="仿宋" w:hAnsi="仿宋" w:eastAsia="仿宋" w:cs="仿宋"/>
          <w:b/>
          <w:bCs/>
          <w:color w:val="auto"/>
          <w:szCs w:val="21"/>
          <w:u w:val="single"/>
        </w:rPr>
        <w:t>提供相关证明文件原件的，请</w:t>
      </w:r>
      <w:r>
        <w:rPr>
          <w:rFonts w:hint="eastAsia" w:ascii="仿宋" w:hAnsi="仿宋" w:eastAsia="仿宋" w:cs="仿宋"/>
          <w:b/>
          <w:bCs/>
          <w:color w:val="auto"/>
          <w:szCs w:val="21"/>
          <w:u w:val="single"/>
          <w:lang w:eastAsia="zh-CN"/>
        </w:rPr>
        <w:t>供应商</w:t>
      </w:r>
      <w:r>
        <w:rPr>
          <w:rFonts w:hint="eastAsia" w:ascii="仿宋" w:hAnsi="仿宋" w:eastAsia="仿宋" w:cs="仿宋"/>
          <w:b/>
          <w:bCs/>
          <w:color w:val="auto"/>
          <w:szCs w:val="21"/>
          <w:u w:val="single"/>
        </w:rPr>
        <w:t>按</w:t>
      </w:r>
      <w:r>
        <w:rPr>
          <w:rFonts w:hint="eastAsia" w:ascii="仿宋" w:hAnsi="仿宋" w:eastAsia="仿宋" w:cs="仿宋"/>
          <w:b/>
          <w:bCs/>
          <w:color w:val="auto"/>
          <w:szCs w:val="21"/>
          <w:u w:val="single"/>
          <w:lang w:eastAsia="zh-CN"/>
        </w:rPr>
        <w:t>采购文件</w:t>
      </w:r>
      <w:r>
        <w:rPr>
          <w:rFonts w:hint="eastAsia" w:ascii="仿宋" w:hAnsi="仿宋" w:eastAsia="仿宋" w:cs="仿宋"/>
          <w:b/>
          <w:bCs/>
          <w:color w:val="auto"/>
          <w:szCs w:val="21"/>
          <w:u w:val="single"/>
        </w:rPr>
        <w:t>规定的时间、地点按时递交，如因</w:t>
      </w:r>
      <w:r>
        <w:rPr>
          <w:rFonts w:hint="eastAsia" w:ascii="仿宋" w:hAnsi="仿宋" w:eastAsia="仿宋" w:cs="仿宋"/>
          <w:b/>
          <w:bCs/>
          <w:color w:val="auto"/>
          <w:szCs w:val="21"/>
          <w:u w:val="single"/>
          <w:lang w:eastAsia="zh-CN"/>
        </w:rPr>
        <w:t>供应商</w:t>
      </w:r>
      <w:r>
        <w:rPr>
          <w:rFonts w:hint="eastAsia" w:ascii="仿宋" w:hAnsi="仿宋" w:eastAsia="仿宋" w:cs="仿宋"/>
          <w:b/>
          <w:bCs/>
          <w:color w:val="auto"/>
          <w:szCs w:val="21"/>
          <w:u w:val="single"/>
        </w:rPr>
        <w:t>自身原因未能按时递交，其产生的后果由</w:t>
      </w:r>
      <w:r>
        <w:rPr>
          <w:rFonts w:hint="eastAsia" w:ascii="仿宋" w:hAnsi="仿宋" w:eastAsia="仿宋" w:cs="仿宋"/>
          <w:b/>
          <w:bCs/>
          <w:color w:val="auto"/>
          <w:szCs w:val="21"/>
          <w:u w:val="single"/>
          <w:lang w:eastAsia="zh-CN"/>
        </w:rPr>
        <w:t>供应商</w:t>
      </w:r>
      <w:r>
        <w:rPr>
          <w:rFonts w:hint="eastAsia" w:ascii="仿宋" w:hAnsi="仿宋" w:eastAsia="仿宋" w:cs="仿宋"/>
          <w:b/>
          <w:bCs/>
          <w:color w:val="auto"/>
          <w:szCs w:val="21"/>
          <w:u w:val="single"/>
        </w:rPr>
        <w:t>自行承担。</w:t>
      </w:r>
    </w:p>
    <w:p w14:paraId="74BB56E7">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23.响应文件的补充、修改或者撤回</w:t>
      </w:r>
    </w:p>
    <w:p w14:paraId="25EAF739">
      <w:pPr>
        <w:keepNext w:val="0"/>
        <w:keepLines w:val="0"/>
        <w:pageBreakBefore w:val="0"/>
        <w:kinsoku/>
        <w:overflowPunct/>
        <w:topLinePunct w:val="0"/>
        <w:autoSpaceDE/>
        <w:autoSpaceDN/>
        <w:bidi w:val="0"/>
        <w:adjustRightInd w:val="0"/>
        <w:snapToGrid w:val="0"/>
        <w:spacing w:line="420" w:lineRule="exact"/>
        <w:ind w:firstLine="398" w:firstLineChars="200"/>
        <w:jc w:val="left"/>
        <w:textAlignment w:val="auto"/>
        <w:rPr>
          <w:rFonts w:hint="eastAsia" w:ascii="仿宋" w:hAnsi="仿宋" w:eastAsia="仿宋" w:cs="仿宋"/>
          <w:b/>
          <w:bCs/>
          <w:color w:val="auto"/>
          <w:spacing w:val="-6"/>
          <w:szCs w:val="21"/>
        </w:rPr>
      </w:pPr>
      <w:r>
        <w:rPr>
          <w:rFonts w:hint="eastAsia" w:ascii="仿宋" w:hAnsi="仿宋" w:eastAsia="仿宋" w:cs="仿宋"/>
          <w:b/>
          <w:bCs/>
          <w:color w:val="auto"/>
          <w:spacing w:val="-6"/>
          <w:szCs w:val="21"/>
        </w:rPr>
        <w:t>2</w:t>
      </w:r>
      <w:r>
        <w:rPr>
          <w:rFonts w:hint="eastAsia" w:ascii="仿宋" w:hAnsi="仿宋" w:eastAsia="仿宋" w:cs="仿宋"/>
          <w:b/>
          <w:bCs/>
          <w:color w:val="auto"/>
          <w:spacing w:val="-6"/>
          <w:szCs w:val="21"/>
          <w:lang w:val="en-US" w:eastAsia="zh-CN"/>
        </w:rPr>
        <w:t>3</w:t>
      </w:r>
      <w:r>
        <w:rPr>
          <w:rFonts w:hint="eastAsia" w:ascii="仿宋" w:hAnsi="仿宋" w:eastAsia="仿宋" w:cs="仿宋"/>
          <w:b/>
          <w:bCs/>
          <w:color w:val="auto"/>
          <w:spacing w:val="-6"/>
          <w:szCs w:val="21"/>
        </w:rPr>
        <w:t xml:space="preserve">.1 </w:t>
      </w:r>
      <w:r>
        <w:rPr>
          <w:rFonts w:hint="eastAsia" w:ascii="仿宋" w:hAnsi="仿宋" w:eastAsia="仿宋" w:cs="仿宋"/>
          <w:b/>
          <w:bCs/>
          <w:color w:val="auto"/>
          <w:spacing w:val="-6"/>
          <w:szCs w:val="21"/>
          <w:lang w:eastAsia="zh-CN"/>
        </w:rPr>
        <w:t>供应商</w:t>
      </w:r>
      <w:r>
        <w:rPr>
          <w:rFonts w:hint="eastAsia" w:ascii="仿宋" w:hAnsi="仿宋" w:eastAsia="仿宋" w:cs="仿宋"/>
          <w:b/>
          <w:bCs/>
          <w:color w:val="auto"/>
          <w:spacing w:val="-6"/>
          <w:szCs w:val="21"/>
        </w:rPr>
        <w:t>在</w:t>
      </w:r>
      <w:r>
        <w:rPr>
          <w:rFonts w:hint="eastAsia" w:ascii="仿宋" w:hAnsi="仿宋" w:eastAsia="仿宋" w:cs="仿宋"/>
          <w:b/>
          <w:bCs/>
          <w:color w:val="auto"/>
          <w:spacing w:val="-6"/>
          <w:szCs w:val="21"/>
          <w:lang w:val="en-US" w:eastAsia="zh-CN"/>
        </w:rPr>
        <w:t>采购文件</w:t>
      </w:r>
      <w:r>
        <w:rPr>
          <w:rFonts w:hint="eastAsia" w:ascii="仿宋" w:hAnsi="仿宋" w:eastAsia="仿宋" w:cs="仿宋"/>
          <w:b/>
          <w:bCs/>
          <w:color w:val="auto"/>
          <w:spacing w:val="-6"/>
          <w:szCs w:val="21"/>
        </w:rPr>
        <w:t>规定的截止时间前可以撤回</w:t>
      </w:r>
      <w:r>
        <w:rPr>
          <w:rFonts w:hint="eastAsia" w:ascii="仿宋" w:hAnsi="仿宋" w:eastAsia="仿宋" w:cs="仿宋"/>
          <w:b/>
          <w:bCs/>
          <w:color w:val="auto"/>
          <w:spacing w:val="-6"/>
          <w:szCs w:val="21"/>
          <w:lang w:val="en-US" w:eastAsia="zh-CN"/>
        </w:rPr>
        <w:t>响应</w:t>
      </w:r>
      <w:r>
        <w:rPr>
          <w:rFonts w:hint="eastAsia" w:ascii="仿宋" w:hAnsi="仿宋" w:eastAsia="仿宋" w:cs="仿宋"/>
          <w:b/>
          <w:bCs/>
          <w:color w:val="auto"/>
          <w:spacing w:val="-6"/>
          <w:szCs w:val="21"/>
        </w:rPr>
        <w:t>文件，也可以撤回并修改后再重新</w:t>
      </w:r>
      <w:r>
        <w:rPr>
          <w:rFonts w:hint="eastAsia" w:ascii="仿宋" w:hAnsi="仿宋" w:eastAsia="仿宋" w:cs="仿宋"/>
          <w:b/>
          <w:bCs/>
          <w:color w:val="auto"/>
          <w:spacing w:val="-6"/>
          <w:szCs w:val="21"/>
          <w:lang w:eastAsia="zh-CN"/>
        </w:rPr>
        <w:t>提交</w:t>
      </w:r>
      <w:r>
        <w:rPr>
          <w:rFonts w:hint="eastAsia" w:ascii="仿宋" w:hAnsi="仿宋" w:eastAsia="仿宋" w:cs="仿宋"/>
          <w:b/>
          <w:bCs/>
          <w:color w:val="auto"/>
          <w:spacing w:val="-6"/>
          <w:szCs w:val="21"/>
        </w:rPr>
        <w:t>，此操作带来的后果由</w:t>
      </w:r>
      <w:r>
        <w:rPr>
          <w:rFonts w:hint="eastAsia" w:ascii="仿宋" w:hAnsi="仿宋" w:eastAsia="仿宋" w:cs="仿宋"/>
          <w:b/>
          <w:bCs/>
          <w:color w:val="auto"/>
          <w:spacing w:val="-6"/>
          <w:szCs w:val="21"/>
          <w:lang w:eastAsia="zh-CN"/>
        </w:rPr>
        <w:t>供应商</w:t>
      </w:r>
      <w:r>
        <w:rPr>
          <w:rFonts w:hint="eastAsia" w:ascii="仿宋" w:hAnsi="仿宋" w:eastAsia="仿宋" w:cs="仿宋"/>
          <w:b/>
          <w:bCs/>
          <w:color w:val="auto"/>
          <w:spacing w:val="-6"/>
          <w:szCs w:val="21"/>
        </w:rPr>
        <w:t>自行承担。</w:t>
      </w:r>
    </w:p>
    <w:p w14:paraId="7143E6A2">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w:t>
      </w:r>
      <w:r>
        <w:rPr>
          <w:rFonts w:hint="eastAsia" w:ascii="仿宋" w:hAnsi="仿宋" w:eastAsia="仿宋" w:cs="仿宋"/>
          <w:b/>
          <w:color w:val="auto"/>
          <w:szCs w:val="21"/>
          <w:lang w:val="en-US" w:eastAsia="zh-CN"/>
        </w:rPr>
        <w:t>4</w:t>
      </w:r>
      <w:r>
        <w:rPr>
          <w:rFonts w:hint="eastAsia" w:ascii="仿宋" w:hAnsi="仿宋" w:eastAsia="仿宋" w:cs="仿宋"/>
          <w:b/>
          <w:color w:val="auto"/>
          <w:szCs w:val="21"/>
        </w:rPr>
        <w:t>.程序</w:t>
      </w:r>
    </w:p>
    <w:p w14:paraId="1D6F0364">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4</w:t>
      </w:r>
      <w:r>
        <w:rPr>
          <w:rFonts w:hint="eastAsia" w:ascii="仿宋" w:hAnsi="仿宋" w:eastAsia="仿宋" w:cs="仿宋"/>
          <w:color w:val="auto"/>
          <w:szCs w:val="21"/>
        </w:rPr>
        <w:t>.1程序：响应文件审查、</w:t>
      </w:r>
      <w:r>
        <w:rPr>
          <w:rFonts w:hint="eastAsia" w:ascii="仿宋" w:hAnsi="仿宋" w:eastAsia="仿宋" w:cs="仿宋"/>
          <w:color w:val="auto"/>
          <w:szCs w:val="21"/>
          <w:lang w:val="en-US" w:eastAsia="zh-CN"/>
        </w:rPr>
        <w:t>开标</w:t>
      </w:r>
      <w:r>
        <w:rPr>
          <w:rFonts w:hint="eastAsia" w:ascii="仿宋" w:hAnsi="仿宋" w:eastAsia="仿宋" w:cs="仿宋"/>
          <w:color w:val="auto"/>
          <w:szCs w:val="21"/>
        </w:rPr>
        <w:t>（包括澄清）、响应文件评审、提出成交供应商。</w:t>
      </w:r>
    </w:p>
    <w:p w14:paraId="0E0D2B4D">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w:t>
      </w:r>
      <w:r>
        <w:rPr>
          <w:rFonts w:hint="eastAsia" w:ascii="仿宋" w:hAnsi="仿宋" w:eastAsia="仿宋" w:cs="仿宋"/>
          <w:b/>
          <w:color w:val="auto"/>
          <w:szCs w:val="21"/>
          <w:lang w:val="en-US" w:eastAsia="zh-CN"/>
        </w:rPr>
        <w:t>5</w:t>
      </w:r>
      <w:r>
        <w:rPr>
          <w:rFonts w:hint="eastAsia" w:ascii="仿宋" w:hAnsi="仿宋" w:eastAsia="仿宋" w:cs="仿宋"/>
          <w:b/>
          <w:color w:val="auto"/>
          <w:szCs w:val="21"/>
        </w:rPr>
        <w:t>.响应文件审查</w:t>
      </w:r>
    </w:p>
    <w:p w14:paraId="463E92AF">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bCs/>
          <w:color w:val="auto"/>
          <w:szCs w:val="21"/>
        </w:rPr>
      </w:pPr>
      <w:r>
        <w:rPr>
          <w:rFonts w:hint="eastAsia" w:ascii="仿宋" w:hAnsi="仿宋" w:eastAsia="仿宋" w:cs="仿宋"/>
          <w:bCs/>
          <w:color w:val="auto"/>
          <w:szCs w:val="21"/>
        </w:rPr>
        <w:t>2</w:t>
      </w:r>
      <w:r>
        <w:rPr>
          <w:rFonts w:hint="eastAsia" w:ascii="仿宋" w:hAnsi="仿宋" w:eastAsia="仿宋" w:cs="仿宋"/>
          <w:bCs/>
          <w:color w:val="auto"/>
          <w:szCs w:val="21"/>
          <w:lang w:val="en-US" w:eastAsia="zh-CN"/>
        </w:rPr>
        <w:t>5</w:t>
      </w:r>
      <w:r>
        <w:rPr>
          <w:rFonts w:hint="eastAsia" w:ascii="仿宋" w:hAnsi="仿宋" w:eastAsia="仿宋" w:cs="仿宋"/>
          <w:bCs/>
          <w:color w:val="auto"/>
          <w:szCs w:val="21"/>
        </w:rPr>
        <w:t>.1 资格性审查：根据本章第3.1项规定的供应商资格条件要求，对响应文件的资格证明等进行审查，以确定供应商是否具备资格条件。</w:t>
      </w:r>
    </w:p>
    <w:p w14:paraId="1C804DAE">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bCs/>
          <w:color w:val="auto"/>
          <w:szCs w:val="21"/>
        </w:rPr>
      </w:pPr>
      <w:r>
        <w:rPr>
          <w:rFonts w:hint="eastAsia" w:ascii="仿宋" w:hAnsi="仿宋" w:eastAsia="仿宋" w:cs="仿宋"/>
          <w:bCs/>
          <w:color w:val="auto"/>
          <w:szCs w:val="21"/>
        </w:rPr>
        <w:t>2</w:t>
      </w:r>
      <w:r>
        <w:rPr>
          <w:rFonts w:hint="eastAsia" w:ascii="仿宋" w:hAnsi="仿宋" w:eastAsia="仿宋" w:cs="仿宋"/>
          <w:bCs/>
          <w:color w:val="auto"/>
          <w:szCs w:val="21"/>
          <w:lang w:val="en-US" w:eastAsia="zh-CN"/>
        </w:rPr>
        <w:t>5</w:t>
      </w:r>
      <w:r>
        <w:rPr>
          <w:rFonts w:hint="eastAsia" w:ascii="仿宋" w:hAnsi="仿宋" w:eastAsia="仿宋" w:cs="仿宋"/>
          <w:bCs/>
          <w:color w:val="auto"/>
          <w:szCs w:val="21"/>
        </w:rPr>
        <w:t>.2符合性审查：对响应文件(包括首次提交的响应文件、重新提交的响应文件)的有效性、完整性和响应程度进行审查，以确定是否对</w:t>
      </w:r>
      <w:r>
        <w:rPr>
          <w:rFonts w:hint="eastAsia" w:ascii="仿宋" w:hAnsi="仿宋" w:eastAsia="仿宋" w:cs="仿宋"/>
          <w:bCs/>
          <w:color w:val="auto"/>
          <w:szCs w:val="21"/>
          <w:lang w:eastAsia="zh-CN"/>
        </w:rPr>
        <w:t>采购文件</w:t>
      </w:r>
      <w:r>
        <w:rPr>
          <w:rFonts w:hint="eastAsia" w:ascii="仿宋" w:hAnsi="仿宋" w:eastAsia="仿宋" w:cs="仿宋"/>
          <w:bCs/>
          <w:color w:val="auto"/>
          <w:szCs w:val="21"/>
        </w:rPr>
        <w:t>的实质性要求作出响应。</w:t>
      </w:r>
    </w:p>
    <w:p w14:paraId="26A22E93">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bCs/>
          <w:color w:val="auto"/>
          <w:szCs w:val="21"/>
        </w:rPr>
      </w:pPr>
      <w:r>
        <w:rPr>
          <w:rFonts w:hint="eastAsia" w:ascii="仿宋" w:hAnsi="仿宋" w:eastAsia="仿宋" w:cs="仿宋"/>
          <w:bCs/>
          <w:color w:val="auto"/>
          <w:szCs w:val="21"/>
          <w:lang w:val="en-US" w:eastAsia="zh-CN"/>
        </w:rPr>
        <w:t>25</w:t>
      </w:r>
      <w:r>
        <w:rPr>
          <w:rFonts w:hint="eastAsia" w:ascii="仿宋" w:hAnsi="仿宋" w:eastAsia="仿宋" w:cs="仿宋"/>
          <w:bCs/>
          <w:color w:val="auto"/>
          <w:szCs w:val="21"/>
        </w:rPr>
        <w:t>.3响应文件审查结束后，</w:t>
      </w:r>
      <w:r>
        <w:rPr>
          <w:rFonts w:hint="eastAsia" w:ascii="仿宋" w:hAnsi="仿宋" w:eastAsia="仿宋" w:cs="仿宋"/>
          <w:bCs/>
          <w:color w:val="auto"/>
          <w:szCs w:val="21"/>
          <w:lang w:eastAsia="zh-CN"/>
        </w:rPr>
        <w:t>评审小组</w:t>
      </w:r>
      <w:r>
        <w:rPr>
          <w:rFonts w:hint="eastAsia" w:ascii="仿宋" w:hAnsi="仿宋" w:eastAsia="仿宋" w:cs="仿宋"/>
          <w:bCs/>
          <w:color w:val="auto"/>
          <w:szCs w:val="21"/>
        </w:rPr>
        <w:t>所有成员集中与单一供应商分别进行，并给予所有参加的供应商平等的机会。供应商应派其法定代表人或委托代理人参加。</w:t>
      </w:r>
    </w:p>
    <w:p w14:paraId="58BF7367">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w:t>
      </w:r>
      <w:r>
        <w:rPr>
          <w:rFonts w:hint="eastAsia" w:ascii="仿宋" w:hAnsi="仿宋" w:eastAsia="仿宋" w:cs="仿宋"/>
          <w:b/>
          <w:color w:val="auto"/>
          <w:szCs w:val="21"/>
          <w:lang w:val="en-US" w:eastAsia="zh-CN"/>
        </w:rPr>
        <w:t>6</w:t>
      </w:r>
      <w:r>
        <w:rPr>
          <w:rFonts w:hint="eastAsia" w:ascii="仿宋" w:hAnsi="仿宋" w:eastAsia="仿宋" w:cs="仿宋"/>
          <w:b/>
          <w:color w:val="auto"/>
          <w:szCs w:val="21"/>
        </w:rPr>
        <w:t>.实质性响应</w:t>
      </w:r>
    </w:p>
    <w:p w14:paraId="6F9E4E7A">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6</w:t>
      </w:r>
      <w:r>
        <w:rPr>
          <w:rFonts w:hint="eastAsia" w:ascii="仿宋" w:hAnsi="仿宋" w:eastAsia="仿宋" w:cs="仿宋"/>
          <w:color w:val="auto"/>
          <w:szCs w:val="21"/>
        </w:rPr>
        <w:t>.1实质性响应是指响应文件(包括首次响应文件、重新提交的响应文件)与</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要求的所有条款、条件和规格相符，没有偏离。偏离指不满足、或不响应</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的要求。</w:t>
      </w:r>
    </w:p>
    <w:p w14:paraId="406553EB">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6</w:t>
      </w:r>
      <w:r>
        <w:rPr>
          <w:rFonts w:hint="eastAsia" w:ascii="仿宋" w:hAnsi="仿宋" w:eastAsia="仿宋" w:cs="仿宋"/>
          <w:color w:val="auto"/>
          <w:szCs w:val="21"/>
        </w:rPr>
        <w:t>.2响应文件是否实质性响应</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要求由</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依据</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规定认定。</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决定响应文件的响应性只根据响应文件本身的真实无误的内容，而不依据外部的证据。</w:t>
      </w:r>
    </w:p>
    <w:p w14:paraId="5F0A79CA">
      <w:pPr>
        <w:pStyle w:val="16"/>
        <w:keepNext w:val="0"/>
        <w:keepLines w:val="0"/>
        <w:pageBreakBefore w:val="0"/>
        <w:kinsoku/>
        <w:overflowPunct/>
        <w:topLinePunct w:val="0"/>
        <w:autoSpaceDE/>
        <w:autoSpaceDN/>
        <w:bidi w:val="0"/>
        <w:adjustRightInd w:val="0"/>
        <w:snapToGrid w:val="0"/>
        <w:spacing w:line="420" w:lineRule="exact"/>
        <w:ind w:firstLine="422" w:firstLineChars="200"/>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2</w:t>
      </w:r>
      <w:r>
        <w:rPr>
          <w:rFonts w:hint="eastAsia" w:ascii="仿宋" w:hAnsi="仿宋" w:eastAsia="仿宋" w:cs="仿宋"/>
          <w:b/>
          <w:color w:val="auto"/>
          <w:sz w:val="21"/>
          <w:szCs w:val="21"/>
          <w:lang w:val="en-US" w:eastAsia="zh-CN"/>
        </w:rPr>
        <w:t>7</w:t>
      </w:r>
      <w:r>
        <w:rPr>
          <w:rFonts w:hint="eastAsia" w:ascii="仿宋" w:hAnsi="仿宋" w:eastAsia="仿宋" w:cs="仿宋"/>
          <w:b/>
          <w:color w:val="auto"/>
          <w:sz w:val="21"/>
          <w:szCs w:val="21"/>
        </w:rPr>
        <w:t>.无效响应</w:t>
      </w:r>
    </w:p>
    <w:p w14:paraId="4CD81989">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27</w:t>
      </w:r>
      <w:r>
        <w:rPr>
          <w:rFonts w:hint="eastAsia" w:ascii="仿宋" w:hAnsi="仿宋" w:eastAsia="仿宋" w:cs="仿宋"/>
          <w:color w:val="auto"/>
          <w:szCs w:val="21"/>
        </w:rPr>
        <w:t>.1</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在对资格性和符合性进行审查时，有下列情况之一的，属无效响应，</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应当告知有关供应商：</w:t>
      </w:r>
    </w:p>
    <w:p w14:paraId="1C3A7EC5">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（1）供应商不具备本章第3.1款规定的供应商资格条件要求，或存在本章第3.3款情形的；</w:t>
      </w:r>
    </w:p>
    <w:p w14:paraId="204DFC6B">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（2）联合体不符合本章第3.2款规定的；</w:t>
      </w:r>
    </w:p>
    <w:p w14:paraId="3865A6F2">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（3）应交未交保证金或金额不足、保证金缴纳形式不符合</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要求的；</w:t>
      </w:r>
    </w:p>
    <w:p w14:paraId="19C9F6F4">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（4）响应文件未按照</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要求签署、盖章的；</w:t>
      </w:r>
    </w:p>
    <w:p w14:paraId="6B98447E">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（4）响应文件不满足本章第2</w:t>
      </w:r>
      <w:r>
        <w:rPr>
          <w:rFonts w:hint="eastAsia" w:ascii="仿宋" w:hAnsi="仿宋" w:eastAsia="仿宋" w:cs="仿宋"/>
          <w:color w:val="auto"/>
          <w:szCs w:val="21"/>
          <w:lang w:val="en-US" w:eastAsia="zh-CN"/>
        </w:rPr>
        <w:t>6</w:t>
      </w:r>
      <w:r>
        <w:rPr>
          <w:rFonts w:hint="eastAsia" w:ascii="仿宋" w:hAnsi="仿宋" w:eastAsia="仿宋" w:cs="仿宋"/>
          <w:color w:val="auto"/>
          <w:szCs w:val="21"/>
        </w:rPr>
        <w:t>.1款规定的实质性要求的；</w:t>
      </w:r>
    </w:p>
    <w:p w14:paraId="18AB5850">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（5）报价超过采购项目预算的；</w:t>
      </w:r>
    </w:p>
    <w:p w14:paraId="604A96FE">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（6）响应文件有效期不足的；</w:t>
      </w:r>
    </w:p>
    <w:p w14:paraId="7F31A118">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（7）响应文件不符合法律、规章、规范性文件和</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规定及要求的。</w:t>
      </w:r>
    </w:p>
    <w:p w14:paraId="463A7F1D">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2</w:t>
      </w:r>
      <w:r>
        <w:rPr>
          <w:rFonts w:hint="eastAsia" w:ascii="仿宋" w:hAnsi="仿宋" w:eastAsia="仿宋" w:cs="仿宋"/>
          <w:b/>
          <w:color w:val="auto"/>
          <w:szCs w:val="21"/>
          <w:lang w:val="en-US" w:eastAsia="zh-CN"/>
        </w:rPr>
        <w:t>8</w:t>
      </w:r>
      <w:r>
        <w:rPr>
          <w:rFonts w:hint="eastAsia" w:ascii="仿宋" w:hAnsi="仿宋" w:eastAsia="仿宋" w:cs="仿宋"/>
          <w:b/>
          <w:color w:val="auto"/>
          <w:szCs w:val="21"/>
        </w:rPr>
        <w:t>.澄清</w:t>
      </w:r>
    </w:p>
    <w:p w14:paraId="09946ABC">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8</w:t>
      </w:r>
      <w:r>
        <w:rPr>
          <w:rFonts w:hint="eastAsia" w:ascii="仿宋" w:hAnsi="仿宋" w:eastAsia="仿宋" w:cs="仿宋"/>
          <w:color w:val="auto"/>
          <w:szCs w:val="21"/>
        </w:rPr>
        <w:t xml:space="preserve">.1 </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在对响应文件(包括首次响应文件、重新提交的响应文件)的有效性、完整性和对</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的范围或者改变响应文件的实质性内容。</w:t>
      </w:r>
    </w:p>
    <w:p w14:paraId="6F727256">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8</w:t>
      </w:r>
      <w:r>
        <w:rPr>
          <w:rFonts w:hint="eastAsia" w:ascii="仿宋" w:hAnsi="仿宋" w:eastAsia="仿宋" w:cs="仿宋"/>
          <w:color w:val="auto"/>
          <w:szCs w:val="21"/>
        </w:rPr>
        <w:t xml:space="preserve">.2 </w:t>
      </w:r>
      <w:r>
        <w:rPr>
          <w:rFonts w:hint="eastAsia" w:ascii="仿宋" w:hAnsi="仿宋" w:eastAsia="仿宋" w:cs="仿宋"/>
          <w:color w:val="auto"/>
          <w:szCs w:val="21"/>
          <w:lang w:eastAsia="zh-CN"/>
        </w:rPr>
        <w:t>报价</w:t>
      </w:r>
      <w:r>
        <w:rPr>
          <w:rFonts w:hint="eastAsia" w:ascii="仿宋" w:hAnsi="仿宋" w:eastAsia="仿宋" w:cs="仿宋"/>
          <w:color w:val="auto"/>
          <w:szCs w:val="21"/>
        </w:rPr>
        <w:t>计算错误修正的原则：</w:t>
      </w:r>
      <w:r>
        <w:rPr>
          <w:rFonts w:hint="eastAsia" w:ascii="仿宋" w:hAnsi="仿宋" w:eastAsia="仿宋" w:cs="仿宋"/>
          <w:color w:val="auto"/>
          <w:szCs w:val="21"/>
          <w:lang w:eastAsia="zh-CN"/>
        </w:rPr>
        <w:t>报价</w:t>
      </w:r>
      <w:r>
        <w:rPr>
          <w:rFonts w:hint="eastAsia" w:ascii="仿宋" w:hAnsi="仿宋" w:eastAsia="仿宋" w:cs="仿宋"/>
          <w:color w:val="auto"/>
          <w:szCs w:val="21"/>
        </w:rPr>
        <w:t>的大写金额和小写金额不一致的，以大写金额为准；总价金额与按分项报价汇总金额不一致的，以分项报价金额计算结果为准；分项报价金额小数点有明显错位的，应以总价为准，并修改分项报价。</w:t>
      </w:r>
    </w:p>
    <w:p w14:paraId="58E0D2C9">
      <w:pPr>
        <w:keepNext w:val="0"/>
        <w:keepLines w:val="0"/>
        <w:pageBreakBefore w:val="0"/>
        <w:kinsoku/>
        <w:overflowPunct/>
        <w:topLinePunct w:val="0"/>
        <w:autoSpaceDE/>
        <w:autoSpaceDN/>
        <w:bidi w:val="0"/>
        <w:spacing w:line="420" w:lineRule="exact"/>
        <w:ind w:firstLine="422" w:firstLineChars="200"/>
        <w:textAlignment w:val="auto"/>
        <w:rPr>
          <w:rFonts w:hint="eastAsia" w:ascii="仿宋" w:hAnsi="仿宋" w:eastAsia="仿宋" w:cs="仿宋"/>
          <w:color w:val="auto"/>
          <w:szCs w:val="21"/>
        </w:rPr>
      </w:pPr>
      <w:r>
        <w:rPr>
          <w:rFonts w:hint="eastAsia" w:ascii="仿宋" w:hAnsi="仿宋" w:eastAsia="仿宋" w:cs="仿宋"/>
          <w:b/>
          <w:color w:val="auto"/>
          <w:szCs w:val="21"/>
          <w:lang w:val="en-US" w:eastAsia="zh-CN"/>
        </w:rPr>
        <w:t>29</w:t>
      </w:r>
      <w:r>
        <w:rPr>
          <w:rFonts w:hint="eastAsia" w:ascii="仿宋" w:hAnsi="仿宋" w:eastAsia="仿宋" w:cs="仿宋"/>
          <w:b/>
          <w:color w:val="auto"/>
          <w:szCs w:val="21"/>
        </w:rPr>
        <w:t>.</w:t>
      </w:r>
      <w:r>
        <w:rPr>
          <w:rFonts w:hint="eastAsia" w:ascii="仿宋" w:hAnsi="仿宋" w:eastAsia="仿宋" w:cs="仿宋"/>
          <w:b/>
          <w:color w:val="auto"/>
          <w:szCs w:val="21"/>
          <w:lang w:val="en-US" w:eastAsia="zh-CN"/>
        </w:rPr>
        <w:t>开评标</w:t>
      </w:r>
    </w:p>
    <w:p w14:paraId="26E5903C">
      <w:pPr>
        <w:keepNext w:val="0"/>
        <w:keepLines w:val="0"/>
        <w:pageBreakBefore w:val="0"/>
        <w:kinsoku/>
        <w:overflowPunct/>
        <w:topLinePunct w:val="0"/>
        <w:autoSpaceDE/>
        <w:autoSpaceDN/>
        <w:bidi w:val="0"/>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采购文件</w:t>
      </w:r>
      <w:r>
        <w:rPr>
          <w:rFonts w:hint="eastAsia" w:ascii="仿宋" w:hAnsi="仿宋" w:eastAsia="仿宋" w:cs="仿宋"/>
          <w:color w:val="auto"/>
          <w:szCs w:val="21"/>
        </w:rPr>
        <w:t>明确可能发生实质性变动，但在</w:t>
      </w:r>
      <w:r>
        <w:rPr>
          <w:rFonts w:hint="eastAsia" w:ascii="仿宋" w:hAnsi="仿宋" w:eastAsia="仿宋" w:cs="仿宋"/>
          <w:color w:val="auto"/>
          <w:szCs w:val="21"/>
          <w:lang w:val="en-US" w:eastAsia="zh-CN"/>
        </w:rPr>
        <w:t>评审</w:t>
      </w:r>
      <w:r>
        <w:rPr>
          <w:rFonts w:hint="eastAsia" w:ascii="仿宋" w:hAnsi="仿宋" w:eastAsia="仿宋" w:cs="仿宋"/>
          <w:color w:val="auto"/>
          <w:szCs w:val="21"/>
        </w:rPr>
        <w:t>过程中</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根据</w:t>
      </w:r>
      <w:r>
        <w:rPr>
          <w:rFonts w:hint="eastAsia" w:ascii="仿宋" w:hAnsi="仿宋" w:eastAsia="仿宋" w:cs="仿宋"/>
          <w:color w:val="auto"/>
          <w:szCs w:val="21"/>
          <w:lang w:val="en-US" w:eastAsia="zh-CN"/>
        </w:rPr>
        <w:t>评审</w:t>
      </w:r>
      <w:r>
        <w:rPr>
          <w:rFonts w:hint="eastAsia" w:ascii="仿宋" w:hAnsi="仿宋" w:eastAsia="仿宋" w:cs="仿宋"/>
          <w:color w:val="auto"/>
          <w:szCs w:val="21"/>
        </w:rPr>
        <w:t>情况认为</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无需发生实质性变动的，</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不另行通知。</w:t>
      </w:r>
    </w:p>
    <w:p w14:paraId="5A0CA61D">
      <w:pPr>
        <w:keepNext w:val="0"/>
        <w:keepLines w:val="0"/>
        <w:pageBreakBefore w:val="0"/>
        <w:widowControl/>
        <w:kinsoku/>
        <w:overflowPunct/>
        <w:topLinePunct w:val="0"/>
        <w:autoSpaceDE/>
        <w:autoSpaceDN/>
        <w:bidi w:val="0"/>
        <w:snapToGrid w:val="0"/>
        <w:spacing w:line="420" w:lineRule="exact"/>
        <w:ind w:firstLine="422" w:firstLineChars="200"/>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0</w:t>
      </w:r>
      <w:r>
        <w:rPr>
          <w:rFonts w:hint="eastAsia" w:ascii="仿宋" w:hAnsi="仿宋" w:eastAsia="仿宋" w:cs="仿宋"/>
          <w:b/>
          <w:color w:val="auto"/>
          <w:szCs w:val="21"/>
        </w:rPr>
        <w:t>.响应文件评审</w:t>
      </w:r>
    </w:p>
    <w:p w14:paraId="1DDA24D5">
      <w:pPr>
        <w:keepNext w:val="0"/>
        <w:keepLines w:val="0"/>
        <w:pageBreakBefore w:val="0"/>
        <w:widowControl/>
        <w:kinsoku/>
        <w:overflowPunct/>
        <w:topLinePunct w:val="0"/>
        <w:autoSpaceDE/>
        <w:autoSpaceDN/>
        <w:bidi w:val="0"/>
        <w:snapToGrid w:val="0"/>
        <w:spacing w:line="420" w:lineRule="exact"/>
        <w:ind w:firstLine="420"/>
        <w:jc w:val="left"/>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0</w:t>
      </w:r>
      <w:r>
        <w:rPr>
          <w:rFonts w:hint="eastAsia" w:ascii="仿宋" w:hAnsi="仿宋" w:eastAsia="仿宋" w:cs="仿宋"/>
          <w:color w:val="auto"/>
          <w:szCs w:val="21"/>
        </w:rPr>
        <w:t>.1经确定最终采购需求和提交</w:t>
      </w:r>
      <w:r>
        <w:rPr>
          <w:rFonts w:hint="eastAsia" w:ascii="仿宋" w:hAnsi="仿宋" w:eastAsia="仿宋" w:cs="仿宋"/>
          <w:color w:val="auto"/>
          <w:szCs w:val="21"/>
          <w:lang w:eastAsia="zh-CN"/>
        </w:rPr>
        <w:t>报价</w:t>
      </w:r>
      <w:r>
        <w:rPr>
          <w:rFonts w:hint="eastAsia" w:ascii="仿宋" w:hAnsi="仿宋" w:eastAsia="仿宋" w:cs="仿宋"/>
          <w:color w:val="auto"/>
          <w:szCs w:val="21"/>
        </w:rPr>
        <w:t>的供应商后，由</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采用综合评分法对提交</w:t>
      </w:r>
      <w:r>
        <w:rPr>
          <w:rFonts w:hint="eastAsia" w:ascii="仿宋" w:hAnsi="仿宋" w:eastAsia="仿宋" w:cs="仿宋"/>
          <w:color w:val="auto"/>
          <w:szCs w:val="21"/>
          <w:lang w:eastAsia="zh-CN"/>
        </w:rPr>
        <w:t>报价</w:t>
      </w:r>
      <w:r>
        <w:rPr>
          <w:rFonts w:hint="eastAsia" w:ascii="仿宋" w:hAnsi="仿宋" w:eastAsia="仿宋" w:cs="仿宋"/>
          <w:color w:val="auto"/>
          <w:szCs w:val="21"/>
        </w:rPr>
        <w:t>的供应商的响应文件和</w:t>
      </w:r>
      <w:r>
        <w:rPr>
          <w:rFonts w:hint="eastAsia" w:ascii="仿宋" w:hAnsi="仿宋" w:eastAsia="仿宋" w:cs="仿宋"/>
          <w:color w:val="auto"/>
          <w:szCs w:val="21"/>
          <w:lang w:eastAsia="zh-CN"/>
        </w:rPr>
        <w:t>报价</w:t>
      </w:r>
      <w:r>
        <w:rPr>
          <w:rFonts w:hint="eastAsia" w:ascii="仿宋" w:hAnsi="仿宋" w:eastAsia="仿宋" w:cs="仿宋"/>
          <w:color w:val="auto"/>
          <w:szCs w:val="21"/>
        </w:rPr>
        <w:t>进行综合评价。</w:t>
      </w:r>
    </w:p>
    <w:p w14:paraId="7FD9EE58">
      <w:pPr>
        <w:keepNext w:val="0"/>
        <w:keepLines w:val="0"/>
        <w:pageBreakBefore w:val="0"/>
        <w:widowControl/>
        <w:kinsoku/>
        <w:overflowPunct/>
        <w:topLinePunct w:val="0"/>
        <w:autoSpaceDE/>
        <w:autoSpaceDN/>
        <w:bidi w:val="0"/>
        <w:snapToGrid w:val="0"/>
        <w:spacing w:line="420" w:lineRule="exact"/>
        <w:ind w:firstLine="420"/>
        <w:jc w:val="left"/>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0</w:t>
      </w:r>
      <w:r>
        <w:rPr>
          <w:rFonts w:hint="eastAsia" w:ascii="仿宋" w:hAnsi="仿宋" w:eastAsia="仿宋" w:cs="仿宋"/>
          <w:color w:val="auto"/>
          <w:szCs w:val="21"/>
        </w:rPr>
        <w:t>.2综合评分法，是指响应文件满足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全部实质性要求且按评审因素的量化指标评审得分最高的供应商为成交候选供应商的评审方法。本采购项目的评审因素和标准见</w:t>
      </w:r>
      <w:r>
        <w:rPr>
          <w:rFonts w:hint="eastAsia" w:ascii="仿宋" w:hAnsi="仿宋" w:eastAsia="仿宋" w:cs="仿宋"/>
          <w:b/>
          <w:color w:val="auto"/>
          <w:szCs w:val="21"/>
        </w:rPr>
        <w:t>【须知前附表】。</w:t>
      </w:r>
    </w:p>
    <w:p w14:paraId="5FD05611">
      <w:pPr>
        <w:keepNext w:val="0"/>
        <w:keepLines w:val="0"/>
        <w:pageBreakBefore w:val="0"/>
        <w:widowControl/>
        <w:kinsoku/>
        <w:overflowPunct/>
        <w:topLinePunct w:val="0"/>
        <w:autoSpaceDE/>
        <w:autoSpaceDN/>
        <w:bidi w:val="0"/>
        <w:snapToGrid w:val="0"/>
        <w:spacing w:line="420" w:lineRule="exact"/>
        <w:ind w:firstLine="420"/>
        <w:jc w:val="left"/>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0</w:t>
      </w: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综合评分法中的价格分采用低价优先法计算，即满足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要求且经调整后的</w:t>
      </w:r>
      <w:r>
        <w:rPr>
          <w:rFonts w:hint="eastAsia" w:ascii="仿宋" w:hAnsi="仿宋" w:eastAsia="仿宋" w:cs="仿宋"/>
          <w:color w:val="auto"/>
          <w:szCs w:val="21"/>
          <w:lang w:eastAsia="zh-CN"/>
        </w:rPr>
        <w:t>报价</w:t>
      </w:r>
      <w:r>
        <w:rPr>
          <w:rFonts w:hint="eastAsia" w:ascii="仿宋" w:hAnsi="仿宋" w:eastAsia="仿宋" w:cs="仿宋"/>
          <w:color w:val="auto"/>
          <w:szCs w:val="21"/>
        </w:rPr>
        <w:t>最低的供应商的价格为</w:t>
      </w:r>
      <w:r>
        <w:rPr>
          <w:rFonts w:hint="eastAsia" w:ascii="仿宋" w:hAnsi="仿宋" w:eastAsia="仿宋" w:cs="仿宋"/>
          <w:color w:val="auto"/>
          <w:szCs w:val="21"/>
          <w:lang w:eastAsia="zh-CN"/>
        </w:rPr>
        <w:t>基准价</w:t>
      </w:r>
      <w:r>
        <w:rPr>
          <w:rFonts w:hint="eastAsia" w:ascii="仿宋" w:hAnsi="仿宋" w:eastAsia="仿宋" w:cs="仿宋"/>
          <w:color w:val="auto"/>
          <w:szCs w:val="21"/>
        </w:rPr>
        <w:t>，其价格分为满分。其他供应商的价格分按照下列公式计算：</w:t>
      </w:r>
    </w:p>
    <w:p w14:paraId="0854BC45">
      <w:pPr>
        <w:keepNext w:val="0"/>
        <w:keepLines w:val="0"/>
        <w:pageBreakBefore w:val="0"/>
        <w:widowControl/>
        <w:kinsoku/>
        <w:overflowPunct/>
        <w:topLinePunct w:val="0"/>
        <w:autoSpaceDE/>
        <w:autoSpaceDN/>
        <w:bidi w:val="0"/>
        <w:snapToGrid w:val="0"/>
        <w:spacing w:line="420" w:lineRule="exact"/>
        <w:ind w:firstLine="420"/>
        <w:jc w:val="left"/>
        <w:textAlignment w:val="auto"/>
        <w:rPr>
          <w:rFonts w:hint="eastAsia" w:ascii="仿宋" w:hAnsi="仿宋" w:eastAsia="仿宋" w:cs="仿宋"/>
          <w:color w:val="auto"/>
          <w:szCs w:val="21"/>
        </w:rPr>
      </w:pPr>
      <w:r>
        <w:rPr>
          <w:rFonts w:hint="eastAsia" w:ascii="仿宋" w:hAnsi="仿宋" w:eastAsia="仿宋" w:cs="仿宋"/>
          <w:color w:val="auto"/>
          <w:szCs w:val="21"/>
          <w:lang w:eastAsia="zh-CN"/>
        </w:rPr>
        <w:t>报价</w:t>
      </w:r>
      <w:r>
        <w:rPr>
          <w:rFonts w:hint="eastAsia" w:ascii="仿宋" w:hAnsi="仿宋" w:eastAsia="仿宋" w:cs="仿宋"/>
          <w:color w:val="auto"/>
          <w:szCs w:val="21"/>
        </w:rPr>
        <w:t>得分＝(</w:t>
      </w:r>
      <w:r>
        <w:rPr>
          <w:rFonts w:hint="eastAsia" w:ascii="仿宋" w:hAnsi="仿宋" w:eastAsia="仿宋" w:cs="仿宋"/>
          <w:color w:val="auto"/>
          <w:szCs w:val="21"/>
          <w:lang w:eastAsia="zh-CN"/>
        </w:rPr>
        <w:t>基准价</w:t>
      </w:r>
      <w:r>
        <w:rPr>
          <w:rFonts w:hint="eastAsia" w:ascii="仿宋" w:hAnsi="仿宋" w:eastAsia="仿宋" w:cs="仿宋"/>
          <w:color w:val="auto"/>
          <w:szCs w:val="21"/>
        </w:rPr>
        <w:t>／</w:t>
      </w:r>
      <w:r>
        <w:rPr>
          <w:rFonts w:hint="eastAsia" w:ascii="仿宋" w:hAnsi="仿宋" w:eastAsia="仿宋" w:cs="仿宋"/>
          <w:color w:val="auto"/>
          <w:szCs w:val="21"/>
          <w:lang w:eastAsia="zh-CN"/>
        </w:rPr>
        <w:t>报价</w:t>
      </w:r>
      <w:r>
        <w:rPr>
          <w:rFonts w:hint="eastAsia" w:ascii="仿宋" w:hAnsi="仿宋" w:eastAsia="仿宋" w:cs="仿宋"/>
          <w:color w:val="auto"/>
          <w:szCs w:val="21"/>
        </w:rPr>
        <w:t xml:space="preserve">)×价格权值。    </w:t>
      </w:r>
    </w:p>
    <w:p w14:paraId="06F179AD">
      <w:pPr>
        <w:keepNext w:val="0"/>
        <w:keepLines w:val="0"/>
        <w:pageBreakBefore w:val="0"/>
        <w:widowControl/>
        <w:kinsoku/>
        <w:overflowPunct/>
        <w:topLinePunct w:val="0"/>
        <w:autoSpaceDE/>
        <w:autoSpaceDN/>
        <w:bidi w:val="0"/>
        <w:snapToGrid w:val="0"/>
        <w:spacing w:line="420" w:lineRule="exact"/>
        <w:ind w:firstLine="420"/>
        <w:jc w:val="left"/>
        <w:textAlignment w:val="auto"/>
        <w:rPr>
          <w:rFonts w:hint="eastAsia" w:ascii="仿宋" w:hAnsi="仿宋" w:eastAsia="仿宋" w:cs="仿宋"/>
          <w:color w:val="auto"/>
          <w:szCs w:val="21"/>
        </w:rPr>
      </w:pPr>
      <w:r>
        <w:rPr>
          <w:rFonts w:hint="eastAsia" w:ascii="仿宋" w:hAnsi="仿宋" w:eastAsia="仿宋" w:cs="仿宋"/>
          <w:color w:val="auto"/>
          <w:szCs w:val="21"/>
        </w:rPr>
        <w:t>项目评审过程中，不得去掉</w:t>
      </w:r>
      <w:r>
        <w:rPr>
          <w:rFonts w:hint="eastAsia" w:ascii="仿宋" w:hAnsi="仿宋" w:eastAsia="仿宋" w:cs="仿宋"/>
          <w:color w:val="auto"/>
          <w:szCs w:val="21"/>
          <w:lang w:eastAsia="zh-CN"/>
        </w:rPr>
        <w:t>报价</w:t>
      </w:r>
      <w:r>
        <w:rPr>
          <w:rFonts w:hint="eastAsia" w:ascii="仿宋" w:hAnsi="仿宋" w:eastAsia="仿宋" w:cs="仿宋"/>
          <w:color w:val="auto"/>
          <w:szCs w:val="21"/>
        </w:rPr>
        <w:t>中的最高报价和最低报价。</w:t>
      </w:r>
    </w:p>
    <w:p w14:paraId="0B99D2C4">
      <w:pPr>
        <w:keepNext w:val="0"/>
        <w:keepLines w:val="0"/>
        <w:pageBreakBefore w:val="0"/>
        <w:widowControl/>
        <w:kinsoku/>
        <w:overflowPunct/>
        <w:topLinePunct w:val="0"/>
        <w:autoSpaceDE/>
        <w:autoSpaceDN/>
        <w:bidi w:val="0"/>
        <w:snapToGrid w:val="0"/>
        <w:spacing w:line="420" w:lineRule="exact"/>
        <w:ind w:firstLine="420"/>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1</w:t>
      </w:r>
      <w:r>
        <w:rPr>
          <w:rFonts w:hint="eastAsia" w:ascii="仿宋" w:hAnsi="仿宋" w:eastAsia="仿宋" w:cs="仿宋"/>
          <w:b/>
          <w:color w:val="auto"/>
          <w:szCs w:val="21"/>
        </w:rPr>
        <w:t>.提出成交供应商</w:t>
      </w:r>
    </w:p>
    <w:p w14:paraId="74A5F9DE">
      <w:pPr>
        <w:keepNext w:val="0"/>
        <w:keepLines w:val="0"/>
        <w:pageBreakBefore w:val="0"/>
        <w:widowControl/>
        <w:kinsoku/>
        <w:overflowPunct/>
        <w:topLinePunct w:val="0"/>
        <w:autoSpaceDE/>
        <w:autoSpaceDN/>
        <w:bidi w:val="0"/>
        <w:snapToGrid w:val="0"/>
        <w:spacing w:line="420" w:lineRule="exact"/>
        <w:ind w:firstLine="420"/>
        <w:jc w:val="left"/>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1</w:t>
      </w:r>
      <w:r>
        <w:rPr>
          <w:rFonts w:hint="eastAsia" w:ascii="仿宋" w:hAnsi="仿宋" w:eastAsia="仿宋" w:cs="仿宋"/>
          <w:color w:val="auto"/>
          <w:szCs w:val="21"/>
        </w:rPr>
        <w:t>.1</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应当根据综合评分情况，按照评审得分由高到低顺序推荐3名以上成交候选供应商，并编写评审报告。评审得分相同的，按照</w:t>
      </w:r>
      <w:r>
        <w:rPr>
          <w:rFonts w:hint="eastAsia" w:ascii="仿宋" w:hAnsi="仿宋" w:eastAsia="仿宋" w:cs="仿宋"/>
          <w:color w:val="auto"/>
          <w:szCs w:val="21"/>
          <w:lang w:eastAsia="zh-CN"/>
        </w:rPr>
        <w:t>报价</w:t>
      </w:r>
      <w:r>
        <w:rPr>
          <w:rFonts w:hint="eastAsia" w:ascii="仿宋" w:hAnsi="仿宋" w:eastAsia="仿宋" w:cs="仿宋"/>
          <w:color w:val="auto"/>
          <w:szCs w:val="21"/>
        </w:rPr>
        <w:t>由低到高的顺序推荐。评审得分且</w:t>
      </w:r>
      <w:r>
        <w:rPr>
          <w:rFonts w:hint="eastAsia" w:ascii="仿宋" w:hAnsi="仿宋" w:eastAsia="仿宋" w:cs="仿宋"/>
          <w:color w:val="auto"/>
          <w:szCs w:val="21"/>
          <w:lang w:eastAsia="zh-CN"/>
        </w:rPr>
        <w:t>报价</w:t>
      </w:r>
      <w:r>
        <w:rPr>
          <w:rFonts w:hint="eastAsia" w:ascii="仿宋" w:hAnsi="仿宋" w:eastAsia="仿宋" w:cs="仿宋"/>
          <w:color w:val="auto"/>
          <w:szCs w:val="21"/>
        </w:rPr>
        <w:t>相同的，按照</w:t>
      </w:r>
      <w:r>
        <w:rPr>
          <w:rFonts w:hint="eastAsia" w:ascii="仿宋" w:hAnsi="仿宋" w:eastAsia="仿宋" w:cs="仿宋"/>
          <w:b/>
          <w:color w:val="auto"/>
          <w:szCs w:val="21"/>
        </w:rPr>
        <w:t>【须知前附表】</w:t>
      </w:r>
      <w:r>
        <w:rPr>
          <w:rFonts w:hint="eastAsia" w:ascii="仿宋" w:hAnsi="仿宋" w:eastAsia="仿宋" w:cs="仿宋"/>
          <w:color w:val="auto"/>
          <w:szCs w:val="21"/>
        </w:rPr>
        <w:t>规定的顺序推荐。</w:t>
      </w:r>
    </w:p>
    <w:p w14:paraId="15030CBF">
      <w:pPr>
        <w:keepNext w:val="0"/>
        <w:keepLines w:val="0"/>
        <w:pageBreakBefore w:val="0"/>
        <w:widowControl/>
        <w:kinsoku/>
        <w:overflowPunct/>
        <w:topLinePunct w:val="0"/>
        <w:autoSpaceDE/>
        <w:autoSpaceDN/>
        <w:bidi w:val="0"/>
        <w:snapToGrid w:val="0"/>
        <w:spacing w:line="420" w:lineRule="exact"/>
        <w:ind w:firstLine="420"/>
        <w:jc w:val="left"/>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2</w:t>
      </w:r>
      <w:r>
        <w:rPr>
          <w:rFonts w:hint="eastAsia" w:ascii="仿宋" w:hAnsi="仿宋" w:eastAsia="仿宋" w:cs="仿宋"/>
          <w:b/>
          <w:color w:val="auto"/>
          <w:szCs w:val="21"/>
        </w:rPr>
        <w:t>.确定成交供应商</w:t>
      </w:r>
    </w:p>
    <w:p w14:paraId="6D3FFCF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2</w:t>
      </w:r>
      <w:r>
        <w:rPr>
          <w:rFonts w:hint="eastAsia" w:ascii="仿宋" w:hAnsi="仿宋" w:eastAsia="仿宋" w:cs="仿宋"/>
          <w:color w:val="auto"/>
          <w:szCs w:val="21"/>
        </w:rPr>
        <w:t>.1采购代理机构应当在评审结束后2个工作日内将评审报告送采购人确认。</w:t>
      </w:r>
    </w:p>
    <w:p w14:paraId="182E7F0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2</w:t>
      </w:r>
      <w:r>
        <w:rPr>
          <w:rFonts w:hint="eastAsia" w:ascii="仿宋" w:hAnsi="仿宋" w:eastAsia="仿宋" w:cs="仿宋"/>
          <w:color w:val="auto"/>
          <w:szCs w:val="21"/>
        </w:rPr>
        <w:t>.2采购人应当在收到评审报告后5个工作日内，从评审报告提出的成交候选人中，根据</w:t>
      </w:r>
      <w:r>
        <w:rPr>
          <w:rFonts w:hint="eastAsia" w:ascii="仿宋" w:hAnsi="仿宋" w:eastAsia="仿宋" w:cs="仿宋"/>
          <w:snapToGrid w:val="0"/>
          <w:color w:val="auto"/>
          <w:kern w:val="0"/>
          <w:szCs w:val="21"/>
        </w:rPr>
        <w:t>评审得分最高的供应商为成交候选供应商</w:t>
      </w:r>
      <w:r>
        <w:rPr>
          <w:rFonts w:hint="eastAsia" w:ascii="仿宋" w:hAnsi="仿宋" w:eastAsia="仿宋" w:cs="仿宋"/>
          <w:color w:val="auto"/>
          <w:szCs w:val="21"/>
        </w:rPr>
        <w:t>的原则确定成交供应商。</w:t>
      </w:r>
    </w:p>
    <w:p w14:paraId="234F60FF">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3</w:t>
      </w:r>
      <w:r>
        <w:rPr>
          <w:rFonts w:hint="eastAsia" w:ascii="仿宋" w:hAnsi="仿宋" w:eastAsia="仿宋" w:cs="仿宋"/>
          <w:b/>
          <w:color w:val="auto"/>
          <w:szCs w:val="21"/>
        </w:rPr>
        <w:t>.终止</w:t>
      </w:r>
    </w:p>
    <w:p w14:paraId="76AE56B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3</w:t>
      </w:r>
      <w:r>
        <w:rPr>
          <w:rFonts w:hint="eastAsia" w:ascii="仿宋" w:hAnsi="仿宋" w:eastAsia="仿宋" w:cs="仿宋"/>
          <w:color w:val="auto"/>
          <w:szCs w:val="21"/>
        </w:rPr>
        <w:t xml:space="preserve">.1出现下列情形之一的，采购人或者采购代理机构应当终止采购活动，在省级以上财政部门指定的媒体上发布项目终止公告并说明原因，重新开展采购活动： </w:t>
      </w:r>
    </w:p>
    <w:p w14:paraId="015993A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snapToGrid w:val="0"/>
          <w:color w:val="auto"/>
          <w:kern w:val="0"/>
          <w:szCs w:val="21"/>
        </w:rPr>
        <w:t>因情况变化，不再符合规定的商采购方式适用情形的</w:t>
      </w:r>
      <w:r>
        <w:rPr>
          <w:rFonts w:hint="eastAsia" w:ascii="仿宋" w:hAnsi="仿宋" w:eastAsia="仿宋" w:cs="仿宋"/>
          <w:color w:val="auto"/>
          <w:szCs w:val="21"/>
        </w:rPr>
        <w:t>；</w:t>
      </w:r>
    </w:p>
    <w:p w14:paraId="0CF3ACA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（2）出现影响采购公正的违法、违规行为的；</w:t>
      </w:r>
    </w:p>
    <w:p w14:paraId="074074E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snapToGrid w:val="0"/>
          <w:color w:val="auto"/>
          <w:kern w:val="0"/>
          <w:szCs w:val="21"/>
        </w:rPr>
        <w:t>在采购过程中符合要求的供应商或者报价未超过采购预算的供应商不足3家的</w:t>
      </w:r>
      <w:r>
        <w:rPr>
          <w:rFonts w:hint="eastAsia" w:ascii="仿宋" w:hAnsi="仿宋" w:eastAsia="仿宋" w:cs="仿宋"/>
          <w:color w:val="auto"/>
          <w:szCs w:val="21"/>
        </w:rPr>
        <w:t>；</w:t>
      </w:r>
    </w:p>
    <w:p w14:paraId="073EF7A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（4）因重大变故，采购任务取消的。</w:t>
      </w:r>
    </w:p>
    <w:p w14:paraId="1F38039C">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4</w:t>
      </w:r>
      <w:r>
        <w:rPr>
          <w:rFonts w:hint="eastAsia" w:ascii="仿宋" w:hAnsi="仿宋" w:eastAsia="仿宋" w:cs="仿宋"/>
          <w:b/>
          <w:color w:val="auto"/>
          <w:szCs w:val="21"/>
        </w:rPr>
        <w:t>．重新评审</w:t>
      </w:r>
    </w:p>
    <w:p w14:paraId="4C042E0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snapToGrid w:val="0"/>
          <w:color w:val="auto"/>
          <w:kern w:val="0"/>
          <w:szCs w:val="21"/>
        </w:rPr>
        <w:t>除资格性检查认定错误、分值汇总计算错误、分项评分超出评分标准范围、客观分评分不一致、经</w:t>
      </w:r>
      <w:r>
        <w:rPr>
          <w:rFonts w:hint="eastAsia" w:ascii="仿宋" w:hAnsi="仿宋" w:eastAsia="仿宋" w:cs="仿宋"/>
          <w:snapToGrid w:val="0"/>
          <w:color w:val="auto"/>
          <w:kern w:val="0"/>
          <w:szCs w:val="21"/>
          <w:lang w:eastAsia="zh-CN"/>
        </w:rPr>
        <w:t>评审小组</w:t>
      </w:r>
      <w:r>
        <w:rPr>
          <w:rFonts w:hint="eastAsia" w:ascii="仿宋" w:hAnsi="仿宋" w:eastAsia="仿宋" w:cs="仿宋"/>
          <w:snapToGrid w:val="0"/>
          <w:color w:val="auto"/>
          <w:kern w:val="0"/>
          <w:szCs w:val="21"/>
        </w:rPr>
        <w:t>一致认定评分畸高、畸低的情形外，采购人或者采购代理机构不得以任何理由组织重新评审。采购人、采购代理机构发现</w:t>
      </w:r>
      <w:r>
        <w:rPr>
          <w:rFonts w:hint="eastAsia" w:ascii="仿宋" w:hAnsi="仿宋" w:eastAsia="仿宋" w:cs="仿宋"/>
          <w:snapToGrid w:val="0"/>
          <w:color w:val="auto"/>
          <w:kern w:val="0"/>
          <w:szCs w:val="21"/>
          <w:lang w:eastAsia="zh-CN"/>
        </w:rPr>
        <w:t>评审小组</w:t>
      </w:r>
      <w:r>
        <w:rPr>
          <w:rFonts w:hint="eastAsia" w:ascii="仿宋" w:hAnsi="仿宋" w:eastAsia="仿宋" w:cs="仿宋"/>
          <w:snapToGrid w:val="0"/>
          <w:color w:val="auto"/>
          <w:kern w:val="0"/>
          <w:szCs w:val="21"/>
        </w:rPr>
        <w:t>未按照</w:t>
      </w:r>
      <w:r>
        <w:rPr>
          <w:rFonts w:hint="eastAsia" w:ascii="仿宋" w:hAnsi="仿宋" w:eastAsia="仿宋" w:cs="仿宋"/>
          <w:snapToGrid w:val="0"/>
          <w:color w:val="auto"/>
          <w:kern w:val="0"/>
          <w:szCs w:val="21"/>
          <w:lang w:eastAsia="zh-CN"/>
        </w:rPr>
        <w:t>采购文件</w:t>
      </w:r>
      <w:r>
        <w:rPr>
          <w:rFonts w:hint="eastAsia" w:ascii="仿宋" w:hAnsi="仿宋" w:eastAsia="仿宋" w:cs="仿宋"/>
          <w:snapToGrid w:val="0"/>
          <w:color w:val="auto"/>
          <w:kern w:val="0"/>
          <w:szCs w:val="21"/>
        </w:rPr>
        <w:t>规定的评审标准进行评审的，应当重新开展采购活动，并同时书面报告本级财政部门</w:t>
      </w:r>
      <w:r>
        <w:rPr>
          <w:rFonts w:hint="eastAsia" w:ascii="仿宋" w:hAnsi="仿宋" w:eastAsia="仿宋" w:cs="仿宋"/>
          <w:color w:val="auto"/>
          <w:szCs w:val="21"/>
        </w:rPr>
        <w:t>。</w:t>
      </w:r>
    </w:p>
    <w:p w14:paraId="02A47749">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5</w:t>
      </w:r>
      <w:r>
        <w:rPr>
          <w:rFonts w:hint="eastAsia" w:ascii="仿宋" w:hAnsi="仿宋" w:eastAsia="仿宋" w:cs="仿宋"/>
          <w:b/>
          <w:color w:val="auto"/>
          <w:szCs w:val="21"/>
        </w:rPr>
        <w:t>.保密及串通行为</w:t>
      </w:r>
    </w:p>
    <w:p w14:paraId="65E06AD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5</w:t>
      </w:r>
      <w:r>
        <w:rPr>
          <w:rFonts w:hint="eastAsia" w:ascii="仿宋" w:hAnsi="仿宋" w:eastAsia="仿宋" w:cs="仿宋"/>
          <w:color w:val="auto"/>
          <w:szCs w:val="21"/>
        </w:rPr>
        <w:t>.1</w:t>
      </w:r>
      <w:r>
        <w:rPr>
          <w:rFonts w:hint="eastAsia" w:ascii="仿宋" w:hAnsi="仿宋" w:eastAsia="仿宋" w:cs="仿宋"/>
          <w:snapToGrid w:val="0"/>
          <w:color w:val="auto"/>
          <w:kern w:val="0"/>
          <w:szCs w:val="21"/>
          <w:lang w:eastAsia="zh-CN"/>
        </w:rPr>
        <w:t>评审小组</w:t>
      </w:r>
      <w:r>
        <w:rPr>
          <w:rFonts w:hint="eastAsia" w:ascii="仿宋" w:hAnsi="仿宋" w:eastAsia="仿宋" w:cs="仿宋"/>
          <w:color w:val="auto"/>
          <w:szCs w:val="21"/>
        </w:rPr>
        <w:t>成员以及与评审工作有关的人员不得泄露评审情况以及评审过程中获悉的国家秘密、商业秘密。</w:t>
      </w:r>
    </w:p>
    <w:p w14:paraId="0B5946E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5</w:t>
      </w:r>
      <w:r>
        <w:rPr>
          <w:rFonts w:hint="eastAsia" w:ascii="仿宋" w:hAnsi="仿宋" w:eastAsia="仿宋" w:cs="仿宋"/>
          <w:color w:val="auto"/>
          <w:szCs w:val="21"/>
        </w:rPr>
        <w:t>.2供应商不得与采购人、采购代理机构、其他供应商恶意串通；不得向采购人、采购代理机构或者</w:t>
      </w:r>
      <w:r>
        <w:rPr>
          <w:rFonts w:hint="eastAsia" w:ascii="仿宋" w:hAnsi="仿宋" w:eastAsia="仿宋" w:cs="仿宋"/>
          <w:snapToGrid w:val="0"/>
          <w:color w:val="auto"/>
          <w:kern w:val="0"/>
          <w:szCs w:val="21"/>
          <w:lang w:eastAsia="zh-CN"/>
        </w:rPr>
        <w:t>评审小组</w:t>
      </w:r>
      <w:r>
        <w:rPr>
          <w:rFonts w:hint="eastAsia" w:ascii="仿宋" w:hAnsi="仿宋" w:eastAsia="仿宋" w:cs="仿宋"/>
          <w:color w:val="auto"/>
          <w:szCs w:val="21"/>
        </w:rPr>
        <w:t>成员行贿或者提供其他不正当利益；不得提供虚假材料谋取成交；不得以任何方式干扰、影响采购工作。</w:t>
      </w:r>
    </w:p>
    <w:p w14:paraId="067D896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5</w:t>
      </w:r>
      <w:r>
        <w:rPr>
          <w:rFonts w:hint="eastAsia" w:ascii="仿宋" w:hAnsi="仿宋" w:eastAsia="仿宋" w:cs="仿宋"/>
          <w:color w:val="auto"/>
          <w:szCs w:val="21"/>
        </w:rPr>
        <w:t>.3有下列情形之一的，属于恶意串通，成交无效，并依照《</w:t>
      </w:r>
      <w:r>
        <w:rPr>
          <w:rFonts w:hint="eastAsia" w:ascii="仿宋" w:hAnsi="仿宋" w:eastAsia="仿宋" w:cs="仿宋"/>
          <w:color w:val="auto"/>
          <w:szCs w:val="21"/>
          <w:lang w:val="en-US" w:eastAsia="zh-CN"/>
        </w:rPr>
        <w:t>政府</w:t>
      </w:r>
      <w:r>
        <w:rPr>
          <w:rFonts w:hint="eastAsia" w:ascii="仿宋" w:hAnsi="仿宋" w:eastAsia="仿宋" w:cs="仿宋"/>
          <w:color w:val="auto"/>
          <w:szCs w:val="21"/>
          <w:lang w:eastAsia="zh-CN"/>
        </w:rPr>
        <w:t>采购</w:t>
      </w:r>
      <w:r>
        <w:rPr>
          <w:rFonts w:hint="eastAsia" w:ascii="仿宋" w:hAnsi="仿宋" w:eastAsia="仿宋" w:cs="仿宋"/>
          <w:color w:val="auto"/>
          <w:szCs w:val="21"/>
        </w:rPr>
        <w:t>法》第七十七条的规定追究法律责任：</w:t>
      </w:r>
    </w:p>
    <w:p w14:paraId="394ABE4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（1）供应商直接或者间接从采购人、采购代理机构获得其他供应商的响应情况，并修改其响应文件的；</w:t>
      </w:r>
    </w:p>
    <w:p w14:paraId="0CE8E4E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（2）采购人、采购代理机构授意供应商撤换、修改响应文件的；</w:t>
      </w:r>
    </w:p>
    <w:p w14:paraId="41FB4EC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（3）供应商之间协商技术方案、合同条款以及报价等响应文件实质性内容的；</w:t>
      </w:r>
    </w:p>
    <w:p w14:paraId="0CC1851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（4）属于同一集团、协会、商会等组织成员的供应商按照该组织要求协同参加采购活动的；</w:t>
      </w:r>
    </w:p>
    <w:p w14:paraId="7797F8B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（5）供应商之间事先约定由某一特定供应商成交的；</w:t>
      </w:r>
    </w:p>
    <w:p w14:paraId="1F46AEB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（6）供应商之间商定部分供应商放弃提交响应文件或者退出或者放弃成交的；</w:t>
      </w:r>
    </w:p>
    <w:p w14:paraId="3C9A37A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（7）供应商与采购人、采购代理机构以及</w:t>
      </w:r>
      <w:r>
        <w:rPr>
          <w:rFonts w:hint="eastAsia" w:ascii="仿宋" w:hAnsi="仿宋" w:eastAsia="仿宋" w:cs="仿宋"/>
          <w:color w:val="auto"/>
          <w:szCs w:val="21"/>
          <w:lang w:eastAsia="zh-CN"/>
        </w:rPr>
        <w:t>评审小组</w:t>
      </w:r>
      <w:r>
        <w:rPr>
          <w:rFonts w:hint="eastAsia" w:ascii="仿宋" w:hAnsi="仿宋" w:eastAsia="仿宋" w:cs="仿宋"/>
          <w:color w:val="auto"/>
          <w:szCs w:val="21"/>
        </w:rPr>
        <w:t>成员之间、供应商相互之间，为谋求特定供应商成交或者排斥其他供应商的其他串通行为的。</w:t>
      </w:r>
    </w:p>
    <w:p w14:paraId="6D6C36C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（8）法律、行政法规或规章规定的其他串通行为。</w:t>
      </w:r>
    </w:p>
    <w:p w14:paraId="3302E518">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rFonts w:hint="eastAsia" w:ascii="仿宋" w:hAnsi="仿宋" w:eastAsia="仿宋" w:cs="仿宋"/>
          <w:b/>
          <w:bCs/>
          <w:color w:val="auto"/>
          <w:szCs w:val="21"/>
        </w:rPr>
      </w:pPr>
      <w:bookmarkStart w:id="69" w:name="_Toc17766"/>
      <w:bookmarkStart w:id="70" w:name="_Toc24637"/>
      <w:bookmarkStart w:id="71" w:name="_Toc22417"/>
      <w:r>
        <w:rPr>
          <w:rFonts w:hint="eastAsia" w:ascii="仿宋" w:hAnsi="仿宋" w:eastAsia="仿宋" w:cs="仿宋"/>
          <w:b/>
          <w:bCs/>
          <w:color w:val="auto"/>
          <w:szCs w:val="21"/>
        </w:rPr>
        <w:t>六、成交结果信息公布与授予合同</w:t>
      </w:r>
      <w:bookmarkEnd w:id="69"/>
      <w:bookmarkEnd w:id="70"/>
      <w:bookmarkEnd w:id="71"/>
    </w:p>
    <w:p w14:paraId="4A410A5B">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6</w:t>
      </w:r>
      <w:r>
        <w:rPr>
          <w:rFonts w:hint="eastAsia" w:ascii="仿宋" w:hAnsi="仿宋" w:eastAsia="仿宋" w:cs="仿宋"/>
          <w:b/>
          <w:color w:val="auto"/>
          <w:szCs w:val="21"/>
        </w:rPr>
        <w:t>.成交信息的公布</w:t>
      </w:r>
    </w:p>
    <w:p w14:paraId="5B688D5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.1成交供应商确定后2个工作日内，采购人或者采购代理机构应将成交结果信息</w:t>
      </w:r>
      <w:r>
        <w:rPr>
          <w:rFonts w:hint="eastAsia" w:ascii="仿宋" w:hAnsi="仿宋" w:eastAsia="仿宋" w:cs="仿宋"/>
          <w:color w:val="auto"/>
          <w:szCs w:val="21"/>
          <w:lang w:val="en-US" w:eastAsia="zh-CN"/>
        </w:rPr>
        <w:t>进行公布</w:t>
      </w:r>
      <w:r>
        <w:rPr>
          <w:rFonts w:hint="eastAsia" w:ascii="仿宋" w:hAnsi="仿宋" w:eastAsia="仿宋" w:cs="仿宋"/>
          <w:color w:val="auto"/>
          <w:szCs w:val="21"/>
        </w:rPr>
        <w:t>。</w:t>
      </w:r>
    </w:p>
    <w:p w14:paraId="007034AC">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7</w:t>
      </w:r>
      <w:r>
        <w:rPr>
          <w:rFonts w:hint="eastAsia" w:ascii="仿宋" w:hAnsi="仿宋" w:eastAsia="仿宋" w:cs="仿宋"/>
          <w:b/>
          <w:color w:val="auto"/>
          <w:szCs w:val="21"/>
        </w:rPr>
        <w:t>.询问及质疑</w:t>
      </w:r>
    </w:p>
    <w:p w14:paraId="394CB09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7</w:t>
      </w:r>
      <w:r>
        <w:rPr>
          <w:rFonts w:hint="eastAsia" w:ascii="仿宋" w:hAnsi="仿宋" w:eastAsia="仿宋" w:cs="仿宋"/>
          <w:color w:val="auto"/>
          <w:szCs w:val="21"/>
        </w:rPr>
        <w:t>.1供应商对</w:t>
      </w:r>
      <w:r>
        <w:rPr>
          <w:rFonts w:hint="eastAsia" w:ascii="仿宋" w:hAnsi="仿宋" w:eastAsia="仿宋" w:cs="仿宋"/>
          <w:color w:val="auto"/>
          <w:szCs w:val="21"/>
          <w:lang w:eastAsia="zh-CN"/>
        </w:rPr>
        <w:t>采购</w:t>
      </w:r>
      <w:r>
        <w:rPr>
          <w:rFonts w:hint="eastAsia" w:ascii="仿宋" w:hAnsi="仿宋" w:eastAsia="仿宋" w:cs="仿宋"/>
          <w:color w:val="auto"/>
          <w:szCs w:val="21"/>
        </w:rPr>
        <w:t>活动事项如有疑问的，可以向采购人、采购代理机构提出询问。采购人、采购代理机构将在3个工作日内作出答复。</w:t>
      </w:r>
    </w:p>
    <w:p w14:paraId="6E31647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7</w:t>
      </w:r>
      <w:r>
        <w:rPr>
          <w:rFonts w:hint="eastAsia" w:ascii="仿宋" w:hAnsi="仿宋" w:eastAsia="仿宋" w:cs="仿宋"/>
          <w:color w:val="auto"/>
          <w:szCs w:val="21"/>
        </w:rPr>
        <w:t>.2供应商若认为</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、采购过程和成交结果使自己的权益受到损害，可以按《湖南省财政厅关于印发＜</w:t>
      </w:r>
      <w:r>
        <w:rPr>
          <w:rFonts w:hint="eastAsia" w:ascii="仿宋" w:hAnsi="仿宋" w:eastAsia="仿宋" w:cs="仿宋"/>
          <w:color w:val="auto"/>
          <w:szCs w:val="21"/>
          <w:lang w:val="en-US" w:eastAsia="zh-CN"/>
        </w:rPr>
        <w:t>政府</w:t>
      </w:r>
      <w:r>
        <w:rPr>
          <w:rFonts w:hint="eastAsia" w:ascii="仿宋" w:hAnsi="仿宋" w:eastAsia="仿宋" w:cs="仿宋"/>
          <w:color w:val="auto"/>
          <w:szCs w:val="21"/>
          <w:lang w:eastAsia="zh-CN"/>
        </w:rPr>
        <w:t>采购</w:t>
      </w:r>
      <w:r>
        <w:rPr>
          <w:rFonts w:hint="eastAsia" w:ascii="仿宋" w:hAnsi="仿宋" w:eastAsia="仿宋" w:cs="仿宋"/>
          <w:color w:val="auto"/>
          <w:szCs w:val="21"/>
        </w:rPr>
        <w:t>质疑答复和投诉处理操作规程＞的通知》(湘财购〔2019〕20号)规定，以书面形式向</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人、采购代理机构一次性提出针对同一采购程序环节的质疑。</w:t>
      </w:r>
    </w:p>
    <w:p w14:paraId="0ED3280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3</w:t>
      </w:r>
      <w:r>
        <w:rPr>
          <w:rFonts w:hint="eastAsia" w:ascii="仿宋" w:hAnsi="仿宋" w:eastAsia="仿宋" w:cs="仿宋"/>
          <w:b/>
          <w:color w:val="auto"/>
          <w:szCs w:val="21"/>
          <w:lang w:val="en-US" w:eastAsia="zh-CN"/>
        </w:rPr>
        <w:t>8</w:t>
      </w:r>
      <w:r>
        <w:rPr>
          <w:rFonts w:hint="eastAsia" w:ascii="仿宋" w:hAnsi="仿宋" w:eastAsia="仿宋" w:cs="仿宋"/>
          <w:b/>
          <w:color w:val="auto"/>
          <w:szCs w:val="21"/>
        </w:rPr>
        <w:t>.成交通知</w:t>
      </w:r>
    </w:p>
    <w:p w14:paraId="738211E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8</w:t>
      </w:r>
      <w:r>
        <w:rPr>
          <w:rFonts w:hint="eastAsia" w:ascii="仿宋" w:hAnsi="仿宋" w:eastAsia="仿宋" w:cs="仿宋"/>
          <w:color w:val="auto"/>
          <w:szCs w:val="21"/>
        </w:rPr>
        <w:t>.1成交供应商确定后，采购人或采购代理机构将以书面形式向成交供应商发出成交通知书。成交通知书对采购人和成交供应商具有同等法律效力。</w:t>
      </w:r>
    </w:p>
    <w:p w14:paraId="48605E7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8</w:t>
      </w:r>
      <w:r>
        <w:rPr>
          <w:rFonts w:hint="eastAsia" w:ascii="仿宋" w:hAnsi="仿宋" w:eastAsia="仿宋" w:cs="仿宋"/>
          <w:color w:val="auto"/>
          <w:szCs w:val="21"/>
        </w:rPr>
        <w:t>.2 成交通知书是合同文件的组成部分。</w:t>
      </w:r>
    </w:p>
    <w:p w14:paraId="0EB4F8D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8</w:t>
      </w:r>
      <w:r>
        <w:rPr>
          <w:rFonts w:hint="eastAsia" w:ascii="仿宋" w:hAnsi="仿宋" w:eastAsia="仿宋" w:cs="仿宋"/>
          <w:color w:val="auto"/>
          <w:szCs w:val="21"/>
        </w:rPr>
        <w:t xml:space="preserve">.3 </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要求成交供应商向采购人提交履约担保的，成交供应商应按照</w:t>
      </w:r>
      <w:r>
        <w:rPr>
          <w:rFonts w:hint="eastAsia" w:ascii="仿宋" w:hAnsi="仿宋" w:eastAsia="仿宋" w:cs="仿宋"/>
          <w:b/>
          <w:color w:val="auto"/>
          <w:szCs w:val="21"/>
        </w:rPr>
        <w:t>【须知前附表】</w:t>
      </w:r>
      <w:r>
        <w:rPr>
          <w:rFonts w:hint="eastAsia" w:ascii="仿宋" w:hAnsi="仿宋" w:eastAsia="仿宋" w:cs="仿宋"/>
          <w:color w:val="auto"/>
          <w:szCs w:val="21"/>
        </w:rPr>
        <w:t>的规定提交。联合体成交的，履约担保由联合体各方或联合体中牵头人的名义提交。</w:t>
      </w:r>
    </w:p>
    <w:p w14:paraId="3D5A86E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8</w:t>
      </w:r>
      <w:r>
        <w:rPr>
          <w:rFonts w:hint="eastAsia" w:ascii="仿宋" w:hAnsi="仿宋" w:eastAsia="仿宋" w:cs="仿宋"/>
          <w:color w:val="auto"/>
          <w:szCs w:val="21"/>
        </w:rPr>
        <w:t>.4 成交供应商没有按照本章第3</w:t>
      </w:r>
      <w:r>
        <w:rPr>
          <w:rFonts w:hint="eastAsia" w:ascii="仿宋" w:hAnsi="仿宋" w:eastAsia="仿宋" w:cs="仿宋"/>
          <w:color w:val="auto"/>
          <w:szCs w:val="21"/>
          <w:lang w:val="en-US" w:eastAsia="zh-CN"/>
        </w:rPr>
        <w:t>8</w:t>
      </w:r>
      <w:r>
        <w:rPr>
          <w:rFonts w:hint="eastAsia" w:ascii="仿宋" w:hAnsi="仿宋" w:eastAsia="仿宋" w:cs="仿宋"/>
          <w:color w:val="auto"/>
          <w:szCs w:val="21"/>
        </w:rPr>
        <w:t>.3款规定提交履约担保的，视为放弃成交资格，其保证金不予退还。</w:t>
      </w:r>
    </w:p>
    <w:p w14:paraId="147EBE1B">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lang w:val="en-US" w:eastAsia="zh-CN"/>
        </w:rPr>
        <w:t>39</w:t>
      </w:r>
      <w:r>
        <w:rPr>
          <w:rFonts w:hint="eastAsia" w:ascii="仿宋" w:hAnsi="仿宋" w:eastAsia="仿宋" w:cs="仿宋"/>
          <w:b/>
          <w:color w:val="auto"/>
          <w:szCs w:val="21"/>
        </w:rPr>
        <w:t>.签订合同</w:t>
      </w:r>
    </w:p>
    <w:p w14:paraId="058F1AB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39</w:t>
      </w:r>
      <w:r>
        <w:rPr>
          <w:rFonts w:hint="eastAsia" w:ascii="仿宋" w:hAnsi="仿宋" w:eastAsia="仿宋" w:cs="仿宋"/>
          <w:color w:val="auto"/>
          <w:szCs w:val="21"/>
        </w:rPr>
        <w:t xml:space="preserve">.1 </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、成交供应商的响应文件及其补充的响应文件等均为签订</w:t>
      </w:r>
      <w:r>
        <w:rPr>
          <w:rFonts w:hint="eastAsia" w:ascii="仿宋" w:hAnsi="仿宋" w:eastAsia="仿宋" w:cs="仿宋"/>
          <w:color w:val="auto"/>
          <w:szCs w:val="21"/>
          <w:lang w:eastAsia="zh-CN"/>
        </w:rPr>
        <w:t>采购</w:t>
      </w:r>
      <w:r>
        <w:rPr>
          <w:rFonts w:hint="eastAsia" w:ascii="仿宋" w:hAnsi="仿宋" w:eastAsia="仿宋" w:cs="仿宋"/>
          <w:color w:val="auto"/>
          <w:szCs w:val="21"/>
        </w:rPr>
        <w:t>合同的依据。</w:t>
      </w:r>
    </w:p>
    <w:p w14:paraId="5D11C47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39</w:t>
      </w:r>
      <w:r>
        <w:rPr>
          <w:rFonts w:hint="eastAsia" w:ascii="仿宋" w:hAnsi="仿宋" w:eastAsia="仿宋" w:cs="仿宋"/>
          <w:color w:val="auto"/>
          <w:szCs w:val="21"/>
        </w:rPr>
        <w:t>.2 成交供应商应当在成交通知书发出之日起30日内与采购人签订</w:t>
      </w:r>
      <w:r>
        <w:rPr>
          <w:rFonts w:hint="eastAsia" w:ascii="仿宋" w:hAnsi="仿宋" w:eastAsia="仿宋" w:cs="仿宋"/>
          <w:color w:val="auto"/>
          <w:szCs w:val="21"/>
          <w:lang w:eastAsia="zh-CN"/>
        </w:rPr>
        <w:t>采购</w:t>
      </w:r>
      <w:r>
        <w:rPr>
          <w:rFonts w:hint="eastAsia" w:ascii="仿宋" w:hAnsi="仿宋" w:eastAsia="仿宋" w:cs="仿宋"/>
          <w:color w:val="auto"/>
          <w:szCs w:val="21"/>
        </w:rPr>
        <w:t>合同。</w:t>
      </w:r>
    </w:p>
    <w:p w14:paraId="67F19E4E">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bCs/>
          <w:color w:val="auto"/>
          <w:szCs w:val="21"/>
        </w:rPr>
      </w:pPr>
      <w:r>
        <w:rPr>
          <w:rFonts w:hint="eastAsia" w:ascii="仿宋" w:hAnsi="仿宋" w:eastAsia="仿宋" w:cs="仿宋"/>
          <w:b/>
          <w:bCs/>
          <w:color w:val="auto"/>
          <w:szCs w:val="21"/>
          <w:lang w:val="en-US" w:eastAsia="zh-CN"/>
        </w:rPr>
        <w:t>39</w:t>
      </w:r>
      <w:r>
        <w:rPr>
          <w:rFonts w:hint="eastAsia" w:ascii="仿宋" w:hAnsi="仿宋" w:eastAsia="仿宋" w:cs="仿宋"/>
          <w:b/>
          <w:bCs/>
          <w:color w:val="auto"/>
          <w:szCs w:val="21"/>
        </w:rPr>
        <w:t>.3 成交供应商应当按照合同约定履行义务。成交供应商不得向他人转让成交项目，也不得将成交项目分包后分别向他人转让。</w:t>
      </w:r>
    </w:p>
    <w:p w14:paraId="2396A63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39</w:t>
      </w:r>
      <w:r>
        <w:rPr>
          <w:rFonts w:hint="eastAsia" w:ascii="仿宋" w:hAnsi="仿宋" w:eastAsia="仿宋" w:cs="仿宋"/>
          <w:color w:val="auto"/>
          <w:szCs w:val="21"/>
        </w:rPr>
        <w:t>.4 成交供应商有下列情形之一的，责令限期改正，情节严重的，列入不良行为记录名单，在1至3年内禁止参加</w:t>
      </w:r>
      <w:r>
        <w:rPr>
          <w:rFonts w:hint="eastAsia" w:ascii="仿宋" w:hAnsi="仿宋" w:eastAsia="仿宋" w:cs="仿宋"/>
          <w:color w:val="auto"/>
          <w:szCs w:val="21"/>
          <w:lang w:eastAsia="zh-CN"/>
        </w:rPr>
        <w:t>采购</w:t>
      </w:r>
      <w:r>
        <w:rPr>
          <w:rFonts w:hint="eastAsia" w:ascii="仿宋" w:hAnsi="仿宋" w:eastAsia="仿宋" w:cs="仿宋"/>
          <w:color w:val="auto"/>
          <w:szCs w:val="21"/>
        </w:rPr>
        <w:t>活动，并予以通报：</w:t>
      </w:r>
    </w:p>
    <w:p w14:paraId="2E32862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（一）成交后无正当理由不与采购人签订合同的；</w:t>
      </w:r>
    </w:p>
    <w:p w14:paraId="6EBF21C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（二）未按照</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确定的事项签订</w:t>
      </w:r>
      <w:r>
        <w:rPr>
          <w:rFonts w:hint="eastAsia" w:ascii="仿宋" w:hAnsi="仿宋" w:eastAsia="仿宋" w:cs="仿宋"/>
          <w:color w:val="auto"/>
          <w:szCs w:val="21"/>
          <w:lang w:eastAsia="zh-CN"/>
        </w:rPr>
        <w:t>采购</w:t>
      </w:r>
      <w:r>
        <w:rPr>
          <w:rFonts w:hint="eastAsia" w:ascii="仿宋" w:hAnsi="仿宋" w:eastAsia="仿宋" w:cs="仿宋"/>
          <w:color w:val="auto"/>
          <w:szCs w:val="21"/>
        </w:rPr>
        <w:t>合同，或者与采购人另行订立背离合同实质性内容的协议的；</w:t>
      </w:r>
    </w:p>
    <w:p w14:paraId="143981F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（三）拒绝履行合同义务的；</w:t>
      </w:r>
    </w:p>
    <w:p w14:paraId="7FA554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（四）违反法律、规章、规范性文件规定的。</w:t>
      </w:r>
    </w:p>
    <w:p w14:paraId="598E7A85">
      <w:pPr>
        <w:keepNext w:val="0"/>
        <w:keepLines w:val="0"/>
        <w:pageBreakBefore w:val="0"/>
        <w:widowControl w:val="0"/>
        <w:kinsoku/>
        <w:wordWrap/>
        <w:overflowPunct/>
        <w:topLinePunct w:val="0"/>
        <w:autoSpaceDE/>
        <w:autoSpaceDN/>
        <w:bidi w:val="0"/>
        <w:adjustRightInd/>
        <w:snapToGrid/>
        <w:spacing w:line="420" w:lineRule="exact"/>
        <w:textAlignment w:val="auto"/>
        <w:outlineLvl w:val="2"/>
        <w:rPr>
          <w:rFonts w:hint="eastAsia" w:ascii="仿宋" w:hAnsi="仿宋" w:eastAsia="仿宋" w:cs="仿宋"/>
          <w:b/>
          <w:bCs/>
          <w:color w:val="auto"/>
          <w:szCs w:val="21"/>
        </w:rPr>
      </w:pPr>
      <w:bookmarkStart w:id="72" w:name="_Toc14517"/>
      <w:bookmarkStart w:id="73" w:name="_Toc21865"/>
      <w:bookmarkStart w:id="74" w:name="_Toc5969"/>
      <w:r>
        <w:rPr>
          <w:rFonts w:hint="eastAsia" w:ascii="仿宋" w:hAnsi="仿宋" w:eastAsia="仿宋" w:cs="仿宋"/>
          <w:b/>
          <w:bCs/>
          <w:color w:val="auto"/>
          <w:szCs w:val="21"/>
        </w:rPr>
        <w:t>七、其他规定</w:t>
      </w:r>
      <w:bookmarkEnd w:id="72"/>
      <w:bookmarkEnd w:id="73"/>
      <w:bookmarkEnd w:id="74"/>
    </w:p>
    <w:p w14:paraId="68E9E3A6">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4</w:t>
      </w:r>
      <w:r>
        <w:rPr>
          <w:rFonts w:hint="eastAsia" w:ascii="仿宋" w:hAnsi="仿宋" w:eastAsia="仿宋" w:cs="仿宋"/>
          <w:b/>
          <w:color w:val="auto"/>
          <w:szCs w:val="21"/>
          <w:lang w:val="en-US" w:eastAsia="zh-CN"/>
        </w:rPr>
        <w:t>0</w:t>
      </w:r>
      <w:r>
        <w:rPr>
          <w:rFonts w:hint="eastAsia" w:ascii="仿宋" w:hAnsi="仿宋" w:eastAsia="仿宋" w:cs="仿宋"/>
          <w:b/>
          <w:color w:val="auto"/>
          <w:szCs w:val="21"/>
        </w:rPr>
        <w:t>.采购代理服务费</w:t>
      </w:r>
    </w:p>
    <w:p w14:paraId="25D0620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0</w:t>
      </w:r>
      <w:r>
        <w:rPr>
          <w:rFonts w:hint="eastAsia" w:ascii="仿宋" w:hAnsi="仿宋" w:eastAsia="仿宋" w:cs="仿宋"/>
          <w:color w:val="auto"/>
          <w:szCs w:val="21"/>
        </w:rPr>
        <w:t>.1采购代理服务费由成交供应商支付的，供应商应按</w:t>
      </w:r>
      <w:r>
        <w:rPr>
          <w:rFonts w:hint="eastAsia" w:ascii="仿宋" w:hAnsi="仿宋" w:eastAsia="仿宋" w:cs="仿宋"/>
          <w:b/>
          <w:color w:val="auto"/>
          <w:szCs w:val="21"/>
        </w:rPr>
        <w:t>【须知前附表】</w:t>
      </w:r>
      <w:r>
        <w:rPr>
          <w:rFonts w:hint="eastAsia" w:ascii="仿宋" w:hAnsi="仿宋" w:eastAsia="仿宋" w:cs="仿宋"/>
          <w:color w:val="auto"/>
          <w:szCs w:val="21"/>
        </w:rPr>
        <w:t>规定向采购代理机构交纳代理服务费。</w:t>
      </w:r>
    </w:p>
    <w:p w14:paraId="599822ED">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t>4</w:t>
      </w:r>
      <w:r>
        <w:rPr>
          <w:rFonts w:hint="eastAsia" w:ascii="仿宋" w:hAnsi="仿宋" w:eastAsia="仿宋" w:cs="仿宋"/>
          <w:b/>
          <w:color w:val="auto"/>
          <w:szCs w:val="21"/>
          <w:lang w:val="en-US" w:eastAsia="zh-CN"/>
        </w:rPr>
        <w:t>1</w:t>
      </w:r>
      <w:r>
        <w:rPr>
          <w:rFonts w:hint="eastAsia" w:ascii="仿宋" w:hAnsi="仿宋" w:eastAsia="仿宋" w:cs="仿宋"/>
          <w:b/>
          <w:color w:val="auto"/>
          <w:szCs w:val="21"/>
        </w:rPr>
        <w:t>.其他规定</w:t>
      </w:r>
    </w:p>
    <w:p w14:paraId="73EFADB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1</w:t>
      </w:r>
      <w:r>
        <w:rPr>
          <w:rFonts w:hint="eastAsia" w:ascii="仿宋" w:hAnsi="仿宋" w:eastAsia="仿宋" w:cs="仿宋"/>
          <w:color w:val="auto"/>
          <w:szCs w:val="21"/>
        </w:rPr>
        <w:t>.1</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的其他规定见</w:t>
      </w:r>
      <w:r>
        <w:rPr>
          <w:rFonts w:hint="eastAsia" w:ascii="仿宋" w:hAnsi="仿宋" w:eastAsia="仿宋" w:cs="仿宋"/>
          <w:b/>
          <w:color w:val="auto"/>
          <w:szCs w:val="21"/>
        </w:rPr>
        <w:t>【须知前附表】</w:t>
      </w:r>
      <w:r>
        <w:rPr>
          <w:rFonts w:hint="eastAsia" w:ascii="仿宋" w:hAnsi="仿宋" w:eastAsia="仿宋" w:cs="仿宋"/>
          <w:color w:val="auto"/>
          <w:szCs w:val="21"/>
        </w:rPr>
        <w:t>。</w:t>
      </w:r>
    </w:p>
    <w:p w14:paraId="359AA36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1</w:t>
      </w:r>
      <w:r>
        <w:rPr>
          <w:rFonts w:hint="eastAsia" w:ascii="仿宋" w:hAnsi="仿宋" w:eastAsia="仿宋" w:cs="仿宋"/>
          <w:color w:val="auto"/>
          <w:szCs w:val="21"/>
        </w:rPr>
        <w:t>.</w:t>
      </w:r>
      <w:r>
        <w:rPr>
          <w:rFonts w:hint="eastAsia" w:ascii="仿宋" w:hAnsi="仿宋" w:eastAsia="仿宋" w:cs="仿宋"/>
          <w:color w:val="auto"/>
          <w:szCs w:val="21"/>
          <w:lang w:val="en-US" w:eastAsia="zh-CN"/>
        </w:rPr>
        <w:t>2 涉嫌围标、串标情形</w:t>
      </w:r>
      <w:r>
        <w:rPr>
          <w:rFonts w:hint="eastAsia" w:ascii="仿宋" w:hAnsi="仿宋" w:eastAsia="仿宋" w:cs="仿宋"/>
          <w:color w:val="auto"/>
          <w:szCs w:val="21"/>
        </w:rPr>
        <w:t>见</w:t>
      </w:r>
      <w:r>
        <w:rPr>
          <w:rFonts w:hint="eastAsia" w:ascii="仿宋" w:hAnsi="仿宋" w:eastAsia="仿宋" w:cs="仿宋"/>
          <w:b/>
          <w:color w:val="auto"/>
          <w:szCs w:val="21"/>
        </w:rPr>
        <w:t>【须知前附表】</w:t>
      </w:r>
      <w:r>
        <w:rPr>
          <w:rFonts w:hint="eastAsia" w:ascii="仿宋" w:hAnsi="仿宋" w:eastAsia="仿宋" w:cs="仿宋"/>
          <w:b w:val="0"/>
          <w:bCs/>
          <w:color w:val="auto"/>
          <w:szCs w:val="21"/>
          <w:lang w:eastAsia="zh-CN"/>
        </w:rPr>
        <w:t>。</w:t>
      </w:r>
    </w:p>
    <w:p w14:paraId="22C0511F">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535C3F6D">
      <w:pPr>
        <w:pStyle w:val="4"/>
        <w:rPr>
          <w:rFonts w:hint="eastAsia" w:ascii="仿宋" w:hAnsi="仿宋" w:eastAsia="仿宋" w:cs="仿宋"/>
          <w:color w:val="auto"/>
          <w:sz w:val="28"/>
          <w:szCs w:val="28"/>
        </w:rPr>
      </w:pPr>
      <w:bookmarkStart w:id="75" w:name="_Toc16604"/>
      <w:bookmarkStart w:id="76" w:name="_Toc8984"/>
      <w:bookmarkStart w:id="77" w:name="_Toc23790"/>
      <w:bookmarkStart w:id="78" w:name="_Toc15067"/>
      <w:bookmarkStart w:id="79" w:name="_Toc10409"/>
      <w:bookmarkStart w:id="80" w:name="_Toc29479"/>
      <w:bookmarkStart w:id="81" w:name="_Toc2600"/>
      <w:bookmarkStart w:id="82" w:name="_Toc26203"/>
      <w:bookmarkStart w:id="83" w:name="_Toc6520"/>
      <w:r>
        <w:rPr>
          <w:rFonts w:hint="eastAsia" w:ascii="仿宋" w:hAnsi="仿宋" w:eastAsia="仿宋" w:cs="仿宋"/>
          <w:color w:val="auto"/>
          <w:sz w:val="28"/>
          <w:szCs w:val="28"/>
        </w:rPr>
        <w:t>附页1 评审因素和标准</w:t>
      </w:r>
      <w:bookmarkEnd w:id="75"/>
      <w:bookmarkEnd w:id="76"/>
      <w:bookmarkEnd w:id="77"/>
    </w:p>
    <w:p w14:paraId="14F4E234">
      <w:pPr>
        <w:keepNext w:val="0"/>
        <w:keepLines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评审因素和标准</w:t>
      </w:r>
    </w:p>
    <w:p w14:paraId="291AFA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Cs w:val="21"/>
        </w:rPr>
      </w:pPr>
      <w:r>
        <w:rPr>
          <w:rFonts w:hint="eastAsia" w:ascii="仿宋" w:hAnsi="仿宋" w:eastAsia="仿宋" w:cs="仿宋"/>
          <w:b/>
          <w:bCs/>
          <w:color w:val="auto"/>
          <w:szCs w:val="21"/>
        </w:rPr>
        <w:t>注：</w:t>
      </w:r>
      <w:r>
        <w:rPr>
          <w:rFonts w:hint="eastAsia" w:ascii="仿宋" w:hAnsi="仿宋" w:eastAsia="仿宋" w:cs="仿宋"/>
          <w:color w:val="auto"/>
          <w:szCs w:val="21"/>
        </w:rPr>
        <w:t>满分为100分，由评委根据以下标准独立对每个有效</w:t>
      </w:r>
      <w:r>
        <w:rPr>
          <w:rFonts w:hint="eastAsia" w:ascii="仿宋" w:hAnsi="仿宋" w:eastAsia="仿宋" w:cs="仿宋"/>
          <w:color w:val="auto"/>
          <w:szCs w:val="21"/>
          <w:lang w:eastAsia="zh-CN"/>
        </w:rPr>
        <w:t>供应商</w:t>
      </w:r>
      <w:r>
        <w:rPr>
          <w:rFonts w:hint="eastAsia" w:ascii="仿宋" w:hAnsi="仿宋" w:eastAsia="仿宋" w:cs="仿宋"/>
          <w:color w:val="auto"/>
          <w:szCs w:val="21"/>
        </w:rPr>
        <w:t>进行评价、打分。</w:t>
      </w:r>
    </w:p>
    <w:tbl>
      <w:tblPr>
        <w:tblStyle w:val="2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76"/>
        <w:gridCol w:w="1254"/>
        <w:gridCol w:w="829"/>
        <w:gridCol w:w="5295"/>
      </w:tblGrid>
      <w:tr w14:paraId="270C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3" w:type="dxa"/>
            <w:vAlign w:val="center"/>
          </w:tcPr>
          <w:p w14:paraId="585880F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序号</w:t>
            </w:r>
          </w:p>
        </w:tc>
        <w:tc>
          <w:tcPr>
            <w:tcW w:w="1176" w:type="dxa"/>
            <w:vAlign w:val="center"/>
          </w:tcPr>
          <w:p w14:paraId="569A181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分类</w:t>
            </w:r>
          </w:p>
        </w:tc>
        <w:tc>
          <w:tcPr>
            <w:tcW w:w="1254" w:type="dxa"/>
            <w:vAlign w:val="center"/>
          </w:tcPr>
          <w:p w14:paraId="1DE5323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评审</w:t>
            </w:r>
            <w:r>
              <w:rPr>
                <w:rFonts w:hint="eastAsia" w:ascii="仿宋" w:hAnsi="仿宋" w:eastAsia="仿宋" w:cs="仿宋"/>
                <w:b/>
                <w:bCs/>
                <w:color w:val="auto"/>
                <w:sz w:val="21"/>
                <w:szCs w:val="21"/>
              </w:rPr>
              <w:t>因素</w:t>
            </w:r>
          </w:p>
        </w:tc>
        <w:tc>
          <w:tcPr>
            <w:tcW w:w="829" w:type="dxa"/>
            <w:vAlign w:val="center"/>
          </w:tcPr>
          <w:p w14:paraId="49F057E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分值</w:t>
            </w:r>
          </w:p>
        </w:tc>
        <w:tc>
          <w:tcPr>
            <w:tcW w:w="5295" w:type="dxa"/>
            <w:vAlign w:val="center"/>
          </w:tcPr>
          <w:p w14:paraId="508CF9C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评分标准</w:t>
            </w:r>
          </w:p>
        </w:tc>
      </w:tr>
      <w:tr w14:paraId="7A6C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713" w:type="dxa"/>
            <w:vAlign w:val="center"/>
          </w:tcPr>
          <w:p w14:paraId="3209471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176" w:type="dxa"/>
            <w:vAlign w:val="center"/>
          </w:tcPr>
          <w:p w14:paraId="7620F9C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报价部分</w:t>
            </w:r>
          </w:p>
          <w:p w14:paraId="1C65B88E">
            <w:pPr>
              <w:pStyle w:val="11"/>
              <w:keepNext w:val="0"/>
              <w:keepLines w:val="0"/>
              <w:pageBreakBefore w:val="0"/>
              <w:kinsoku/>
              <w:wordWrap/>
              <w:overflowPunct/>
              <w:topLinePunct w:val="0"/>
              <w:autoSpaceDE/>
              <w:autoSpaceDN/>
              <w:bidi w:val="0"/>
              <w:adjustRightInd/>
              <w:snapToGrid/>
              <w:spacing w:after="0" w:line="400" w:lineRule="exact"/>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lang w:val="en-US" w:eastAsia="zh-CN"/>
              </w:rPr>
              <w:t>（10分）</w:t>
            </w:r>
          </w:p>
        </w:tc>
        <w:tc>
          <w:tcPr>
            <w:tcW w:w="1254" w:type="dxa"/>
            <w:vAlign w:val="center"/>
          </w:tcPr>
          <w:p w14:paraId="16D0474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sz w:val="21"/>
                <w:szCs w:val="21"/>
                <w:lang w:val="en-US" w:eastAsia="zh-CN"/>
              </w:rPr>
            </w:pPr>
          </w:p>
          <w:p w14:paraId="0F3C539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lang w:val="en-US" w:eastAsia="zh-CN"/>
              </w:rPr>
              <w:t>报价</w:t>
            </w:r>
          </w:p>
        </w:tc>
        <w:tc>
          <w:tcPr>
            <w:tcW w:w="829" w:type="dxa"/>
            <w:vAlign w:val="center"/>
          </w:tcPr>
          <w:p w14:paraId="241B181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10分</w:t>
            </w:r>
          </w:p>
        </w:tc>
        <w:tc>
          <w:tcPr>
            <w:tcW w:w="5295" w:type="dxa"/>
            <w:vAlign w:val="center"/>
          </w:tcPr>
          <w:p w14:paraId="7C3F361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价格分采用低价优先法计算，即</w:t>
            </w:r>
            <w:r>
              <w:rPr>
                <w:rFonts w:hint="eastAsia" w:ascii="仿宋" w:hAnsi="仿宋" w:eastAsia="仿宋" w:cs="仿宋"/>
                <w:color w:val="auto"/>
                <w:sz w:val="21"/>
                <w:szCs w:val="21"/>
                <w:lang w:val="en-US" w:eastAsia="zh-CN"/>
              </w:rPr>
              <w:t>满足采购文件要求中投标报价最低的</w:t>
            </w:r>
            <w:r>
              <w:rPr>
                <w:rFonts w:hint="eastAsia" w:ascii="仿宋" w:hAnsi="仿宋" w:eastAsia="仿宋" w:cs="仿宋"/>
                <w:color w:val="auto"/>
                <w:sz w:val="21"/>
                <w:szCs w:val="21"/>
              </w:rPr>
              <w:t>供应商</w:t>
            </w:r>
            <w:r>
              <w:rPr>
                <w:rFonts w:hint="eastAsia" w:ascii="仿宋" w:hAnsi="仿宋" w:eastAsia="仿宋" w:cs="仿宋"/>
                <w:color w:val="auto"/>
                <w:sz w:val="21"/>
                <w:szCs w:val="21"/>
                <w:lang w:val="en-US" w:eastAsia="zh-CN"/>
              </w:rPr>
              <w:t>的价格为</w:t>
            </w:r>
            <w:r>
              <w:rPr>
                <w:rFonts w:hint="eastAsia" w:ascii="仿宋" w:hAnsi="仿宋" w:eastAsia="仿宋" w:cs="仿宋"/>
                <w:color w:val="auto"/>
                <w:sz w:val="21"/>
                <w:szCs w:val="21"/>
                <w:lang w:eastAsia="zh-CN"/>
              </w:rPr>
              <w:t>基准价</w:t>
            </w:r>
            <w:r>
              <w:rPr>
                <w:rFonts w:hint="eastAsia" w:ascii="仿宋" w:hAnsi="仿宋" w:eastAsia="仿宋" w:cs="仿宋"/>
                <w:color w:val="auto"/>
                <w:sz w:val="21"/>
                <w:szCs w:val="21"/>
              </w:rPr>
              <w:t>，其价格分为满分</w:t>
            </w:r>
            <w:r>
              <w:rPr>
                <w:rFonts w:hint="eastAsia" w:ascii="仿宋" w:hAnsi="仿宋" w:eastAsia="仿宋" w:cs="仿宋"/>
                <w:color w:val="auto"/>
                <w:sz w:val="21"/>
                <w:szCs w:val="21"/>
                <w:lang w:val="en-US" w:eastAsia="zh-CN"/>
              </w:rPr>
              <w:t>10分</w:t>
            </w:r>
            <w:r>
              <w:rPr>
                <w:rFonts w:hint="eastAsia" w:ascii="仿宋" w:hAnsi="仿宋" w:eastAsia="仿宋" w:cs="仿宋"/>
                <w:color w:val="auto"/>
                <w:sz w:val="21"/>
                <w:szCs w:val="21"/>
              </w:rPr>
              <w:t>。其他供应商的价格分按照下列公式计算：</w:t>
            </w:r>
            <w:r>
              <w:rPr>
                <w:rFonts w:hint="eastAsia" w:ascii="仿宋" w:hAnsi="仿宋" w:eastAsia="仿宋" w:cs="仿宋"/>
                <w:color w:val="auto"/>
                <w:sz w:val="21"/>
                <w:szCs w:val="21"/>
                <w:lang w:eastAsia="zh-CN"/>
              </w:rPr>
              <w:t>报价</w:t>
            </w:r>
            <w:r>
              <w:rPr>
                <w:rFonts w:hint="eastAsia" w:ascii="仿宋" w:hAnsi="仿宋" w:eastAsia="仿宋" w:cs="仿宋"/>
                <w:color w:val="auto"/>
                <w:sz w:val="21"/>
                <w:szCs w:val="21"/>
              </w:rPr>
              <w:t>得分</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基准价</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报价</w:t>
            </w:r>
            <w:r>
              <w:rPr>
                <w:rFonts w:hint="eastAsia" w:ascii="仿宋" w:hAnsi="仿宋" w:eastAsia="仿宋" w:cs="仿宋"/>
                <w:color w:val="auto"/>
                <w:sz w:val="21"/>
                <w:szCs w:val="21"/>
              </w:rPr>
              <w:t>）×</w:t>
            </w:r>
            <w:r>
              <w:rPr>
                <w:rFonts w:hint="eastAsia" w:ascii="仿宋" w:hAnsi="仿宋" w:eastAsia="仿宋" w:cs="仿宋"/>
                <w:color w:val="auto"/>
                <w:szCs w:val="21"/>
              </w:rPr>
              <w:t>价格权值</w:t>
            </w:r>
            <w:r>
              <w:rPr>
                <w:rFonts w:hint="eastAsia" w:ascii="仿宋" w:hAnsi="仿宋" w:eastAsia="仿宋" w:cs="仿宋"/>
                <w:color w:val="auto"/>
                <w:sz w:val="21"/>
                <w:szCs w:val="21"/>
                <w:lang w:eastAsia="zh-CN"/>
              </w:rPr>
              <w:t>。</w:t>
            </w:r>
          </w:p>
          <w:p w14:paraId="626EADAE">
            <w:pPr>
              <w:pStyle w:val="2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仿宋" w:hAnsi="仿宋" w:eastAsia="仿宋" w:cs="仿宋"/>
                <w:color w:val="auto"/>
                <w:sz w:val="21"/>
                <w:szCs w:val="21"/>
                <w:lang w:eastAsia="zh-CN"/>
              </w:rPr>
            </w:pPr>
            <w:r>
              <w:rPr>
                <w:rFonts w:hint="eastAsia" w:ascii="仿宋" w:hAnsi="仿宋" w:eastAsia="仿宋" w:cs="仿宋"/>
                <w:b/>
                <w:bCs/>
                <w:color w:val="auto"/>
                <w:sz w:val="21"/>
                <w:szCs w:val="21"/>
                <w:lang w:eastAsia="zh-CN"/>
              </w:rPr>
              <w:t>注：评审小组认为供应商的报价明显低于其他通过符合性审查供应商的报价，有可能影响服务质量或者不能诚信履约的，可要求其在评标现场合理的时间（</w:t>
            </w:r>
            <w:r>
              <w:rPr>
                <w:rFonts w:hint="eastAsia" w:ascii="仿宋" w:hAnsi="仿宋" w:eastAsia="仿宋" w:cs="仿宋"/>
                <w:b/>
                <w:bCs/>
                <w:color w:val="auto"/>
                <w:sz w:val="21"/>
                <w:szCs w:val="21"/>
                <w:lang w:val="en-US" w:eastAsia="zh-CN"/>
              </w:rPr>
              <w:t>6</w:t>
            </w:r>
            <w:r>
              <w:rPr>
                <w:rFonts w:hint="eastAsia" w:ascii="仿宋" w:hAnsi="仿宋" w:eastAsia="仿宋" w:cs="仿宋"/>
                <w:b/>
                <w:bCs/>
                <w:color w:val="auto"/>
                <w:sz w:val="21"/>
                <w:szCs w:val="21"/>
                <w:lang w:eastAsia="zh-CN"/>
              </w:rPr>
              <w:t>0分钟）内提供书面说明，必要时提交相关证明材料；供应商不能证明其报价合理性的，</w:t>
            </w:r>
            <w:r>
              <w:rPr>
                <w:rFonts w:hint="eastAsia" w:ascii="仿宋" w:hAnsi="仿宋" w:eastAsia="仿宋" w:cs="仿宋"/>
                <w:b/>
                <w:bCs/>
                <w:color w:val="auto"/>
                <w:sz w:val="21"/>
                <w:szCs w:val="21"/>
                <w:lang w:val="en-US" w:eastAsia="zh-CN"/>
              </w:rPr>
              <w:t>评审小组</w:t>
            </w:r>
            <w:r>
              <w:rPr>
                <w:rFonts w:hint="eastAsia" w:ascii="仿宋" w:hAnsi="仿宋" w:eastAsia="仿宋" w:cs="仿宋"/>
                <w:b/>
                <w:bCs/>
                <w:color w:val="auto"/>
                <w:sz w:val="21"/>
                <w:szCs w:val="21"/>
                <w:lang w:eastAsia="zh-CN"/>
              </w:rPr>
              <w:t>将其作为无效</w:t>
            </w:r>
            <w:r>
              <w:rPr>
                <w:rFonts w:hint="eastAsia" w:ascii="仿宋" w:hAnsi="仿宋" w:eastAsia="仿宋" w:cs="仿宋"/>
                <w:b/>
                <w:bCs/>
                <w:color w:val="auto"/>
                <w:sz w:val="21"/>
                <w:szCs w:val="21"/>
                <w:lang w:val="en-US" w:eastAsia="zh-CN"/>
              </w:rPr>
              <w:t>响应</w:t>
            </w:r>
            <w:r>
              <w:rPr>
                <w:rFonts w:hint="eastAsia" w:ascii="仿宋" w:hAnsi="仿宋" w:eastAsia="仿宋" w:cs="仿宋"/>
                <w:b/>
                <w:bCs/>
                <w:color w:val="auto"/>
                <w:sz w:val="21"/>
                <w:szCs w:val="21"/>
                <w:lang w:eastAsia="zh-CN"/>
              </w:rPr>
              <w:t>处理。</w:t>
            </w:r>
          </w:p>
        </w:tc>
      </w:tr>
    </w:tbl>
    <w:p w14:paraId="2248D0A5">
      <w:pPr>
        <w:keepNext w:val="0"/>
        <w:keepLines w:val="0"/>
        <w:pageBreakBefore w:val="0"/>
        <w:kinsoku/>
        <w:wordWrap/>
        <w:overflowPunct/>
        <w:topLinePunct w:val="0"/>
        <w:autoSpaceDE/>
        <w:autoSpaceDN/>
        <w:bidi w:val="0"/>
        <w:adjustRightInd w:val="0"/>
        <w:snapToGrid w:val="0"/>
        <w:spacing w:line="400" w:lineRule="exact"/>
        <w:jc w:val="left"/>
        <w:rPr>
          <w:rFonts w:hint="eastAsia" w:ascii="仿宋" w:hAnsi="仿宋" w:eastAsia="仿宋" w:cs="仿宋"/>
          <w:b/>
          <w:color w:val="auto"/>
          <w:szCs w:val="21"/>
        </w:rPr>
      </w:pPr>
    </w:p>
    <w:p w14:paraId="6C3104DC">
      <w:pPr>
        <w:pStyle w:val="5"/>
        <w:rPr>
          <w:rFonts w:hint="eastAsia" w:ascii="仿宋" w:hAnsi="仿宋" w:eastAsia="仿宋" w:cs="仿宋"/>
          <w:b/>
          <w:color w:val="auto"/>
          <w:szCs w:val="21"/>
        </w:rPr>
      </w:pPr>
    </w:p>
    <w:p w14:paraId="40C37CDC">
      <w:pPr>
        <w:rPr>
          <w:rFonts w:hint="eastAsia" w:ascii="仿宋" w:hAnsi="仿宋" w:eastAsia="仿宋" w:cs="仿宋"/>
          <w:b/>
          <w:color w:val="auto"/>
          <w:szCs w:val="21"/>
        </w:rPr>
      </w:pPr>
    </w:p>
    <w:p w14:paraId="50EAE0AE">
      <w:pPr>
        <w:pStyle w:val="5"/>
        <w:rPr>
          <w:rFonts w:hint="eastAsia" w:ascii="仿宋" w:hAnsi="仿宋" w:eastAsia="仿宋" w:cs="仿宋"/>
          <w:b/>
          <w:color w:val="auto"/>
          <w:szCs w:val="21"/>
        </w:rPr>
      </w:pPr>
    </w:p>
    <w:p w14:paraId="5751CF29">
      <w:pPr>
        <w:rPr>
          <w:rFonts w:hint="eastAsia" w:ascii="仿宋" w:hAnsi="仿宋" w:eastAsia="仿宋" w:cs="仿宋"/>
          <w:b/>
          <w:color w:val="auto"/>
          <w:szCs w:val="21"/>
        </w:rPr>
      </w:pPr>
    </w:p>
    <w:p w14:paraId="6E28A503">
      <w:pPr>
        <w:pStyle w:val="5"/>
        <w:rPr>
          <w:rFonts w:hint="eastAsia" w:ascii="仿宋" w:hAnsi="仿宋" w:eastAsia="仿宋" w:cs="仿宋"/>
          <w:b/>
          <w:color w:val="auto"/>
          <w:szCs w:val="21"/>
        </w:rPr>
      </w:pPr>
    </w:p>
    <w:p w14:paraId="4D7B3CE1">
      <w:pPr>
        <w:rPr>
          <w:rFonts w:hint="eastAsia" w:ascii="仿宋" w:hAnsi="仿宋" w:eastAsia="仿宋" w:cs="仿宋"/>
          <w:b/>
          <w:color w:val="auto"/>
          <w:szCs w:val="21"/>
        </w:rPr>
      </w:pPr>
    </w:p>
    <w:p w14:paraId="7DB49DE1">
      <w:pPr>
        <w:pStyle w:val="5"/>
        <w:rPr>
          <w:rFonts w:hint="eastAsia" w:ascii="仿宋" w:hAnsi="仿宋" w:eastAsia="仿宋" w:cs="仿宋"/>
          <w:b/>
          <w:color w:val="auto"/>
          <w:szCs w:val="21"/>
        </w:rPr>
      </w:pPr>
    </w:p>
    <w:p w14:paraId="4F61940E">
      <w:pPr>
        <w:rPr>
          <w:rFonts w:hint="eastAsia" w:ascii="仿宋" w:hAnsi="仿宋" w:eastAsia="仿宋" w:cs="仿宋"/>
          <w:b/>
          <w:color w:val="auto"/>
          <w:szCs w:val="21"/>
        </w:rPr>
      </w:pPr>
    </w:p>
    <w:p w14:paraId="4DC2B703">
      <w:pPr>
        <w:pStyle w:val="5"/>
        <w:rPr>
          <w:rFonts w:hint="eastAsia" w:ascii="仿宋" w:hAnsi="仿宋" w:eastAsia="仿宋" w:cs="仿宋"/>
          <w:b/>
          <w:color w:val="auto"/>
          <w:szCs w:val="21"/>
        </w:rPr>
      </w:pPr>
    </w:p>
    <w:p w14:paraId="22E2411E">
      <w:pPr>
        <w:rPr>
          <w:rFonts w:hint="eastAsia"/>
        </w:rPr>
      </w:pPr>
    </w:p>
    <w:p w14:paraId="247D7890">
      <w:pPr>
        <w:rPr>
          <w:rFonts w:hint="eastAsia" w:ascii="仿宋" w:hAnsi="仿宋" w:eastAsia="仿宋" w:cs="仿宋"/>
          <w:color w:val="auto"/>
        </w:rPr>
      </w:pPr>
    </w:p>
    <w:p w14:paraId="222FE940">
      <w:pPr>
        <w:rPr>
          <w:rFonts w:hint="eastAsia" w:ascii="仿宋" w:hAnsi="仿宋" w:eastAsia="仿宋" w:cs="仿宋"/>
          <w:b/>
          <w:color w:val="auto"/>
          <w:szCs w:val="21"/>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630"/>
        <w:gridCol w:w="1615"/>
        <w:gridCol w:w="582"/>
        <w:gridCol w:w="6105"/>
      </w:tblGrid>
      <w:tr w14:paraId="5B3D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A249A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rPr>
              <w:t>序号</w:t>
            </w:r>
          </w:p>
        </w:tc>
        <w:tc>
          <w:tcPr>
            <w:tcW w:w="630" w:type="dxa"/>
            <w:vAlign w:val="center"/>
          </w:tcPr>
          <w:p w14:paraId="5B0AE6E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lang w:val="en-US" w:eastAsia="zh-CN"/>
              </w:rPr>
              <w:t>分类</w:t>
            </w:r>
          </w:p>
        </w:tc>
        <w:tc>
          <w:tcPr>
            <w:tcW w:w="1615" w:type="dxa"/>
            <w:vAlign w:val="center"/>
          </w:tcPr>
          <w:p w14:paraId="2720485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lang w:val="en-US" w:eastAsia="zh-CN"/>
              </w:rPr>
              <w:t>评审</w:t>
            </w:r>
            <w:r>
              <w:rPr>
                <w:rFonts w:hint="eastAsia" w:ascii="仿宋" w:hAnsi="仿宋" w:eastAsia="仿宋" w:cs="仿宋"/>
                <w:b/>
                <w:bCs/>
                <w:color w:val="auto"/>
                <w:sz w:val="21"/>
                <w:szCs w:val="21"/>
              </w:rPr>
              <w:t>因素</w:t>
            </w:r>
          </w:p>
        </w:tc>
        <w:tc>
          <w:tcPr>
            <w:tcW w:w="582" w:type="dxa"/>
            <w:vAlign w:val="center"/>
          </w:tcPr>
          <w:p w14:paraId="5C9CC99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rPr>
              <w:t>分值</w:t>
            </w:r>
          </w:p>
        </w:tc>
        <w:tc>
          <w:tcPr>
            <w:tcW w:w="6105" w:type="dxa"/>
            <w:vAlign w:val="center"/>
          </w:tcPr>
          <w:p w14:paraId="3A350A1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rPr>
              <w:t>评分标准</w:t>
            </w:r>
          </w:p>
        </w:tc>
      </w:tr>
      <w:tr w14:paraId="0C73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582" w:type="dxa"/>
            <w:vMerge w:val="restart"/>
          </w:tcPr>
          <w:p w14:paraId="335A12E4">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lang w:val="en-US" w:eastAsia="zh-CN"/>
              </w:rPr>
            </w:pPr>
            <w:r>
              <w:rPr>
                <w:rFonts w:hint="eastAsia" w:ascii="仿宋" w:hAnsi="仿宋" w:eastAsia="仿宋" w:cs="仿宋"/>
                <w:b/>
                <w:color w:val="auto"/>
                <w:szCs w:val="21"/>
                <w:vertAlign w:val="baseline"/>
                <w:lang w:val="en-US" w:eastAsia="zh-CN"/>
              </w:rPr>
              <w:t>2</w:t>
            </w:r>
          </w:p>
        </w:tc>
        <w:tc>
          <w:tcPr>
            <w:tcW w:w="630" w:type="dxa"/>
            <w:vMerge w:val="restart"/>
            <w:vAlign w:val="center"/>
          </w:tcPr>
          <w:p w14:paraId="573A0FA5">
            <w:pPr>
              <w:pStyle w:val="5"/>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color w:val="auto"/>
                <w:szCs w:val="21"/>
                <w:vertAlign w:val="baseline"/>
                <w:lang w:val="en-US" w:eastAsia="zh-CN"/>
              </w:rPr>
            </w:pPr>
            <w:r>
              <w:rPr>
                <w:rFonts w:hint="eastAsia" w:ascii="仿宋" w:hAnsi="仿宋" w:eastAsia="仿宋" w:cs="仿宋"/>
                <w:b/>
                <w:bCs/>
                <w:color w:val="auto"/>
                <w:kern w:val="2"/>
                <w:sz w:val="21"/>
                <w:szCs w:val="21"/>
                <w:lang w:val="en-US" w:eastAsia="zh-CN" w:bidi="ar-SA"/>
              </w:rPr>
              <w:t>技术部分50分</w:t>
            </w:r>
          </w:p>
        </w:tc>
        <w:tc>
          <w:tcPr>
            <w:tcW w:w="1615" w:type="dxa"/>
            <w:vAlign w:val="center"/>
          </w:tcPr>
          <w:p w14:paraId="5C648F23">
            <w:pPr>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Cs w:val="21"/>
              </w:rPr>
            </w:pPr>
            <w:r>
              <w:rPr>
                <w:rFonts w:hint="eastAsia" w:ascii="宋体" w:hAnsi="宋体" w:cs="宋体"/>
                <w:kern w:val="0"/>
                <w:szCs w:val="21"/>
                <w:lang w:bidi="ar"/>
              </w:rPr>
              <w:t>施工方案</w:t>
            </w:r>
          </w:p>
          <w:p w14:paraId="3A02B93D">
            <w:pPr>
              <w:pageBreakBefore w:val="0"/>
              <w:tabs>
                <w:tab w:val="left" w:pos="312"/>
              </w:tabs>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auto"/>
                <w:szCs w:val="21"/>
                <w:vertAlign w:val="baseline"/>
                <w:lang w:eastAsia="zh-CN"/>
              </w:rPr>
            </w:pPr>
          </w:p>
        </w:tc>
        <w:tc>
          <w:tcPr>
            <w:tcW w:w="582" w:type="dxa"/>
            <w:vAlign w:val="center"/>
          </w:tcPr>
          <w:p w14:paraId="6C289C6D">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default" w:ascii="仿宋" w:hAnsi="仿宋" w:eastAsia="仿宋" w:cs="仿宋"/>
                <w:b/>
                <w:color w:val="auto"/>
                <w:szCs w:val="21"/>
                <w:vertAlign w:val="baseline"/>
                <w:lang w:val="en-US" w:eastAsia="zh-CN"/>
              </w:rPr>
            </w:pPr>
            <w:r>
              <w:rPr>
                <w:rFonts w:hint="eastAsia" w:ascii="仿宋" w:hAnsi="仿宋" w:eastAsia="仿宋" w:cs="仿宋"/>
                <w:b/>
                <w:color w:val="auto"/>
                <w:szCs w:val="21"/>
                <w:vertAlign w:val="baseline"/>
                <w:lang w:val="en-US" w:eastAsia="zh-CN"/>
              </w:rPr>
              <w:t>10</w:t>
            </w:r>
          </w:p>
        </w:tc>
        <w:tc>
          <w:tcPr>
            <w:tcW w:w="6105" w:type="dxa"/>
            <w:vAlign w:val="center"/>
          </w:tcPr>
          <w:p w14:paraId="19F560C6">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评审说明：</w:t>
            </w:r>
            <w:r>
              <w:rPr>
                <w:rFonts w:hint="eastAsia" w:ascii="仿宋" w:hAnsi="仿宋" w:eastAsia="仿宋" w:cs="仿宋"/>
                <w:kern w:val="0"/>
                <w:szCs w:val="21"/>
                <w:lang w:bidi="ar"/>
              </w:rPr>
              <w:t>根据</w:t>
            </w:r>
            <w:r>
              <w:rPr>
                <w:rFonts w:hint="eastAsia" w:ascii="仿宋" w:hAnsi="仿宋" w:eastAsia="仿宋" w:cs="仿宋"/>
                <w:kern w:val="0"/>
                <w:szCs w:val="21"/>
                <w:lang w:eastAsia="zh-CN" w:bidi="ar"/>
              </w:rPr>
              <w:t>供应商</w:t>
            </w:r>
            <w:r>
              <w:rPr>
                <w:rFonts w:hint="eastAsia" w:ascii="仿宋" w:hAnsi="仿宋" w:eastAsia="仿宋" w:cs="仿宋"/>
                <w:kern w:val="0"/>
                <w:szCs w:val="21"/>
                <w:lang w:bidi="ar"/>
              </w:rPr>
              <w:t>针对本项目提出的施工方案，结合项目需求特点和实际，按下列分项量化指标进行逐项对应评价计分：</w:t>
            </w:r>
          </w:p>
          <w:p w14:paraId="2ED13F09">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量化指标：</w:t>
            </w:r>
            <w:r>
              <w:rPr>
                <w:rFonts w:hint="eastAsia" w:ascii="仿宋" w:hAnsi="仿宋" w:eastAsia="仿宋" w:cs="仿宋"/>
                <w:kern w:val="0"/>
                <w:szCs w:val="21"/>
                <w:lang w:bidi="ar"/>
              </w:rPr>
              <w:t xml:space="preserve">1、对工程现场情况和条件了解具体；2、施工重点和难点分析准确；3、工程施工管理目标明确；4、施工方法；5、现场工作人员操作规范，安全生产符合要求。 </w:t>
            </w:r>
          </w:p>
          <w:p w14:paraId="3E0141D9">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评分标准：</w:t>
            </w:r>
            <w:r>
              <w:rPr>
                <w:rFonts w:hint="eastAsia" w:ascii="仿宋" w:hAnsi="仿宋" w:eastAsia="仿宋" w:cs="仿宋"/>
                <w:kern w:val="0"/>
                <w:szCs w:val="21"/>
                <w:lang w:bidi="ar"/>
              </w:rPr>
              <w:t>对照上列5项量化指标，每项按下列对应分值进行评分：①内容科学合理的、操作性强的的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2</w:t>
            </w:r>
            <w:r>
              <w:rPr>
                <w:rFonts w:hint="eastAsia" w:ascii="仿宋" w:hAnsi="仿宋" w:eastAsia="仿宋" w:cs="仿宋"/>
                <w:b/>
                <w:bCs/>
                <w:kern w:val="0"/>
                <w:szCs w:val="21"/>
                <w:lang w:bidi="ar"/>
              </w:rPr>
              <w:t>分</w:t>
            </w:r>
            <w:r>
              <w:rPr>
                <w:rFonts w:hint="eastAsia" w:ascii="仿宋" w:hAnsi="仿宋" w:eastAsia="仿宋" w:cs="仿宋"/>
                <w:kern w:val="0"/>
                <w:szCs w:val="21"/>
                <w:lang w:bidi="ar"/>
              </w:rPr>
              <w:t>；②内容较科学合理的、操作性较强的的的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1.5</w:t>
            </w:r>
            <w:r>
              <w:rPr>
                <w:rFonts w:hint="eastAsia" w:ascii="仿宋" w:hAnsi="仿宋" w:eastAsia="仿宋" w:cs="仿宋"/>
                <w:b/>
                <w:bCs/>
                <w:kern w:val="0"/>
                <w:szCs w:val="21"/>
                <w:lang w:bidi="ar"/>
              </w:rPr>
              <w:t>分</w:t>
            </w:r>
            <w:r>
              <w:rPr>
                <w:rFonts w:hint="eastAsia" w:ascii="仿宋" w:hAnsi="仿宋" w:eastAsia="仿宋" w:cs="仿宋"/>
                <w:kern w:val="0"/>
                <w:szCs w:val="21"/>
                <w:lang w:bidi="ar"/>
              </w:rPr>
              <w:t>；③内容合理性一般的、操作性一般的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w:t>
            </w:r>
            <w:r>
              <w:rPr>
                <w:rFonts w:hint="eastAsia" w:ascii="仿宋" w:hAnsi="仿宋" w:eastAsia="仿宋" w:cs="仿宋"/>
                <w:b/>
                <w:bCs/>
                <w:kern w:val="0"/>
                <w:szCs w:val="21"/>
                <w:lang w:bidi="ar"/>
              </w:rPr>
              <w:t>分。</w:t>
            </w:r>
            <w:r>
              <w:rPr>
                <w:rFonts w:hint="eastAsia" w:ascii="仿宋" w:hAnsi="仿宋" w:eastAsia="仿宋" w:cs="仿宋"/>
                <w:kern w:val="0"/>
                <w:szCs w:val="21"/>
                <w:lang w:bidi="ar"/>
              </w:rPr>
              <w:t xml:space="preserve"> </w:t>
            </w:r>
          </w:p>
          <w:p w14:paraId="2F854682">
            <w:pPr>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kern w:val="0"/>
                <w:szCs w:val="21"/>
                <w:lang w:bidi="ar"/>
              </w:rPr>
              <w:t>本项“</w:t>
            </w:r>
            <w:r>
              <w:rPr>
                <w:rFonts w:hint="eastAsia" w:ascii="仿宋" w:hAnsi="仿宋" w:eastAsia="仿宋" w:cs="仿宋"/>
                <w:b/>
                <w:bCs/>
                <w:kern w:val="0"/>
                <w:szCs w:val="21"/>
                <w:lang w:bidi="ar"/>
              </w:rPr>
              <w:t>施工方案</w:t>
            </w:r>
            <w:r>
              <w:rPr>
                <w:rFonts w:hint="eastAsia" w:ascii="仿宋" w:hAnsi="仿宋" w:eastAsia="仿宋" w:cs="仿宋"/>
                <w:kern w:val="0"/>
                <w:szCs w:val="21"/>
                <w:lang w:bidi="ar"/>
              </w:rPr>
              <w:t>”评审因素汇总（1至5项）得分最多</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10</w:t>
            </w:r>
            <w:r>
              <w:rPr>
                <w:rFonts w:hint="eastAsia" w:ascii="仿宋" w:hAnsi="仿宋" w:eastAsia="仿宋" w:cs="仿宋"/>
                <w:b/>
                <w:bCs/>
                <w:kern w:val="0"/>
                <w:szCs w:val="21"/>
                <w:lang w:bidi="ar"/>
              </w:rPr>
              <w:t>分</w:t>
            </w:r>
            <w:r>
              <w:rPr>
                <w:rFonts w:hint="eastAsia" w:ascii="仿宋" w:hAnsi="仿宋" w:eastAsia="仿宋" w:cs="仿宋"/>
                <w:kern w:val="0"/>
                <w:szCs w:val="21"/>
                <w:lang w:bidi="ar"/>
              </w:rPr>
              <w:t>，</w:t>
            </w:r>
            <w:r>
              <w:rPr>
                <w:rFonts w:hint="eastAsia" w:ascii="仿宋" w:hAnsi="仿宋" w:eastAsia="仿宋" w:cs="仿宋"/>
                <w:b/>
                <w:bCs/>
                <w:kern w:val="0"/>
                <w:szCs w:val="21"/>
                <w:lang w:bidi="ar"/>
              </w:rPr>
              <w:t>未提供方案的不计分。</w:t>
            </w:r>
          </w:p>
        </w:tc>
      </w:tr>
      <w:tr w14:paraId="2902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82" w:type="dxa"/>
            <w:vMerge w:val="continue"/>
          </w:tcPr>
          <w:p w14:paraId="125D208F">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rPr>
            </w:pPr>
          </w:p>
        </w:tc>
        <w:tc>
          <w:tcPr>
            <w:tcW w:w="630" w:type="dxa"/>
            <w:vMerge w:val="continue"/>
          </w:tcPr>
          <w:p w14:paraId="532442E2">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rPr>
            </w:pPr>
          </w:p>
        </w:tc>
        <w:tc>
          <w:tcPr>
            <w:tcW w:w="1615" w:type="dxa"/>
            <w:vAlign w:val="center"/>
          </w:tcPr>
          <w:p w14:paraId="31C0BA3F">
            <w:pPr>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Cs w:val="21"/>
              </w:rPr>
            </w:pPr>
            <w:r>
              <w:rPr>
                <w:rFonts w:hint="eastAsia" w:ascii="宋体" w:hAnsi="宋体" w:cs="宋体"/>
                <w:kern w:val="0"/>
                <w:szCs w:val="21"/>
                <w:lang w:bidi="ar"/>
              </w:rPr>
              <w:t>进度控制措施及</w:t>
            </w:r>
            <w:r>
              <w:rPr>
                <w:rFonts w:hint="eastAsia" w:ascii="宋体" w:hAnsi="宋体" w:cs="宋体"/>
                <w:szCs w:val="21"/>
              </w:rPr>
              <w:t>资源配备计划</w:t>
            </w:r>
          </w:p>
          <w:p w14:paraId="5EF2581E">
            <w:pPr>
              <w:pageBreakBefore w:val="0"/>
              <w:tabs>
                <w:tab w:val="left" w:pos="312"/>
              </w:tabs>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auto"/>
                <w:szCs w:val="21"/>
                <w:vertAlign w:val="baseline"/>
                <w:lang w:eastAsia="zh-CN"/>
              </w:rPr>
            </w:pPr>
          </w:p>
        </w:tc>
        <w:tc>
          <w:tcPr>
            <w:tcW w:w="582" w:type="dxa"/>
            <w:vAlign w:val="center"/>
          </w:tcPr>
          <w:p w14:paraId="78A2671A">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default" w:ascii="仿宋" w:hAnsi="仿宋" w:eastAsia="仿宋" w:cs="仿宋"/>
                <w:b/>
                <w:color w:val="auto"/>
                <w:szCs w:val="21"/>
                <w:vertAlign w:val="baseline"/>
                <w:lang w:val="en-US" w:eastAsia="zh-CN"/>
              </w:rPr>
            </w:pPr>
            <w:r>
              <w:rPr>
                <w:rFonts w:hint="eastAsia" w:ascii="仿宋" w:hAnsi="仿宋" w:eastAsia="仿宋" w:cs="仿宋"/>
                <w:b/>
                <w:color w:val="auto"/>
                <w:szCs w:val="21"/>
                <w:vertAlign w:val="baseline"/>
                <w:lang w:val="en-US" w:eastAsia="zh-CN"/>
              </w:rPr>
              <w:t>10</w:t>
            </w:r>
          </w:p>
        </w:tc>
        <w:tc>
          <w:tcPr>
            <w:tcW w:w="6105" w:type="dxa"/>
            <w:vAlign w:val="center"/>
          </w:tcPr>
          <w:p w14:paraId="0130149C">
            <w:pPr>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szCs w:val="21"/>
              </w:rPr>
            </w:pPr>
            <w:r>
              <w:rPr>
                <w:rFonts w:hint="eastAsia" w:ascii="仿宋" w:hAnsi="仿宋" w:eastAsia="仿宋" w:cs="仿宋"/>
                <w:b/>
                <w:bCs/>
                <w:kern w:val="0"/>
                <w:szCs w:val="21"/>
                <w:lang w:bidi="ar"/>
              </w:rPr>
              <w:t>评审说明：</w:t>
            </w:r>
            <w:r>
              <w:rPr>
                <w:rFonts w:hint="eastAsia" w:ascii="仿宋" w:hAnsi="仿宋" w:eastAsia="仿宋" w:cs="仿宋"/>
                <w:kern w:val="0"/>
                <w:szCs w:val="21"/>
                <w:lang w:bidi="ar"/>
              </w:rPr>
              <w:t>根据</w:t>
            </w:r>
            <w:r>
              <w:rPr>
                <w:rFonts w:hint="eastAsia" w:ascii="仿宋" w:hAnsi="仿宋" w:eastAsia="仿宋" w:cs="仿宋"/>
                <w:kern w:val="0"/>
                <w:szCs w:val="21"/>
                <w:lang w:eastAsia="zh-CN" w:bidi="ar"/>
              </w:rPr>
              <w:t>供应商</w:t>
            </w:r>
            <w:r>
              <w:rPr>
                <w:rFonts w:hint="eastAsia" w:ascii="仿宋" w:hAnsi="仿宋" w:eastAsia="仿宋" w:cs="仿宋"/>
                <w:kern w:val="0"/>
                <w:szCs w:val="21"/>
                <w:lang w:bidi="ar"/>
              </w:rPr>
              <w:t>针项目进度控制措施及</w:t>
            </w:r>
            <w:r>
              <w:rPr>
                <w:rFonts w:hint="eastAsia" w:ascii="仿宋" w:hAnsi="仿宋" w:eastAsia="仿宋" w:cs="仿宋"/>
                <w:szCs w:val="21"/>
              </w:rPr>
              <w:t>资源配备计划</w:t>
            </w:r>
            <w:r>
              <w:rPr>
                <w:rFonts w:hint="eastAsia" w:ascii="仿宋" w:hAnsi="仿宋" w:eastAsia="仿宋" w:cs="仿宋"/>
                <w:kern w:val="0"/>
                <w:szCs w:val="21"/>
                <w:lang w:bidi="ar"/>
              </w:rPr>
              <w:t xml:space="preserve">，按下列分项量化指标进行逐项对应评价计分： </w:t>
            </w:r>
          </w:p>
          <w:p w14:paraId="77C4CFA5">
            <w:pPr>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szCs w:val="21"/>
              </w:rPr>
            </w:pPr>
            <w:r>
              <w:rPr>
                <w:rFonts w:hint="eastAsia" w:ascii="仿宋" w:hAnsi="仿宋" w:eastAsia="仿宋" w:cs="仿宋"/>
                <w:b/>
                <w:bCs/>
                <w:kern w:val="0"/>
                <w:szCs w:val="21"/>
                <w:lang w:bidi="ar"/>
              </w:rPr>
              <w:t>量化指标：</w:t>
            </w:r>
            <w:r>
              <w:rPr>
                <w:rFonts w:hint="eastAsia" w:ascii="仿宋" w:hAnsi="仿宋" w:eastAsia="仿宋" w:cs="仿宋"/>
                <w:kern w:val="0"/>
                <w:szCs w:val="21"/>
                <w:lang w:bidi="ar"/>
              </w:rPr>
              <w:t xml:space="preserve">1、工作进度安排合理且符合采购人工期要求；2、人员配置架构完整、配备人员从业经验丰富、资历高；3、机械设备、材料供应的合理配置资源；4、协调能力；5、资金保证，后勤生活保障等。 </w:t>
            </w:r>
          </w:p>
          <w:p w14:paraId="19CAF2CF">
            <w:pPr>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szCs w:val="21"/>
                <w:lang w:eastAsia="zh-CN"/>
              </w:rPr>
            </w:pPr>
            <w:r>
              <w:rPr>
                <w:rFonts w:hint="eastAsia" w:ascii="仿宋" w:hAnsi="仿宋" w:eastAsia="仿宋" w:cs="仿宋"/>
                <w:b/>
                <w:bCs/>
                <w:kern w:val="0"/>
                <w:szCs w:val="21"/>
                <w:lang w:bidi="ar"/>
              </w:rPr>
              <w:t>评分标准：</w:t>
            </w:r>
            <w:r>
              <w:rPr>
                <w:rFonts w:hint="eastAsia" w:ascii="仿宋" w:hAnsi="仿宋" w:eastAsia="仿宋" w:cs="仿宋"/>
                <w:kern w:val="0"/>
                <w:szCs w:val="21"/>
                <w:lang w:bidi="ar"/>
              </w:rPr>
              <w:t>对照上列 5 项量化指标，每项按下列对应分值进行评分：①完全符合</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2</w:t>
            </w:r>
            <w:r>
              <w:rPr>
                <w:rFonts w:hint="eastAsia" w:ascii="仿宋" w:hAnsi="仿宋" w:eastAsia="仿宋" w:cs="仿宋"/>
                <w:b/>
                <w:bCs/>
                <w:kern w:val="0"/>
                <w:szCs w:val="21"/>
                <w:lang w:bidi="ar"/>
              </w:rPr>
              <w:t>分</w:t>
            </w:r>
            <w:r>
              <w:rPr>
                <w:rFonts w:hint="eastAsia" w:ascii="仿宋" w:hAnsi="仿宋" w:eastAsia="仿宋" w:cs="仿宋"/>
                <w:kern w:val="0"/>
                <w:szCs w:val="21"/>
                <w:lang w:bidi="ar"/>
              </w:rPr>
              <w:t>；②基本符合</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1.5</w:t>
            </w:r>
            <w:r>
              <w:rPr>
                <w:rFonts w:hint="eastAsia" w:ascii="仿宋" w:hAnsi="仿宋" w:eastAsia="仿宋" w:cs="仿宋"/>
                <w:b/>
                <w:bCs/>
                <w:kern w:val="0"/>
                <w:szCs w:val="21"/>
                <w:lang w:bidi="ar"/>
              </w:rPr>
              <w:t>分</w:t>
            </w:r>
            <w:r>
              <w:rPr>
                <w:rFonts w:hint="eastAsia" w:ascii="仿宋" w:hAnsi="仿宋" w:eastAsia="仿宋" w:cs="仿宋"/>
                <w:kern w:val="0"/>
                <w:szCs w:val="21"/>
                <w:lang w:bidi="ar"/>
              </w:rPr>
              <w:t>；③欠符合</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1分</w:t>
            </w:r>
          </w:p>
          <w:p w14:paraId="69FC27E4">
            <w:pPr>
              <w:pageBreakBefore w:val="0"/>
              <w:widowControl/>
              <w:kinsoku/>
              <w:wordWrap/>
              <w:overflowPunct/>
              <w:topLinePunct w:val="0"/>
              <w:autoSpaceDE/>
              <w:autoSpaceDN/>
              <w:bidi w:val="0"/>
              <w:adjustRightInd/>
              <w:snapToGrid/>
              <w:spacing w:line="240" w:lineRule="exact"/>
              <w:ind w:firstLine="420" w:firstLineChars="200"/>
              <w:textAlignment w:val="auto"/>
              <w:rPr>
                <w:rFonts w:hint="eastAsia"/>
                <w:lang w:val="en-US" w:eastAsia="zh-CN"/>
              </w:rPr>
            </w:pPr>
            <w:r>
              <w:rPr>
                <w:rFonts w:hint="eastAsia" w:ascii="仿宋" w:hAnsi="仿宋" w:eastAsia="仿宋" w:cs="仿宋"/>
                <w:kern w:val="0"/>
                <w:szCs w:val="21"/>
                <w:lang w:bidi="ar"/>
              </w:rPr>
              <w:t>本项“</w:t>
            </w:r>
            <w:r>
              <w:rPr>
                <w:rFonts w:hint="eastAsia" w:ascii="仿宋" w:hAnsi="仿宋" w:eastAsia="仿宋" w:cs="仿宋"/>
                <w:b/>
                <w:bCs/>
                <w:kern w:val="0"/>
                <w:szCs w:val="21"/>
                <w:lang w:bidi="ar"/>
              </w:rPr>
              <w:t>进度控制措施及</w:t>
            </w:r>
            <w:r>
              <w:rPr>
                <w:rFonts w:hint="eastAsia" w:ascii="仿宋" w:hAnsi="仿宋" w:eastAsia="仿宋" w:cs="仿宋"/>
                <w:b/>
                <w:bCs/>
                <w:szCs w:val="21"/>
              </w:rPr>
              <w:t>资源配备计划</w:t>
            </w:r>
            <w:r>
              <w:rPr>
                <w:rFonts w:hint="eastAsia" w:ascii="仿宋" w:hAnsi="仿宋" w:eastAsia="仿宋" w:cs="仿宋"/>
                <w:kern w:val="0"/>
                <w:szCs w:val="21"/>
                <w:lang w:bidi="ar"/>
              </w:rPr>
              <w:t>”评审因素汇总（1至5项）得分最多</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10</w:t>
            </w:r>
            <w:r>
              <w:rPr>
                <w:rFonts w:hint="eastAsia" w:ascii="仿宋" w:hAnsi="仿宋" w:eastAsia="仿宋" w:cs="仿宋"/>
                <w:b/>
                <w:bCs/>
                <w:kern w:val="0"/>
                <w:szCs w:val="21"/>
                <w:lang w:bidi="ar"/>
              </w:rPr>
              <w:t>分</w:t>
            </w:r>
            <w:r>
              <w:rPr>
                <w:rFonts w:hint="eastAsia" w:ascii="仿宋" w:hAnsi="仿宋" w:eastAsia="仿宋" w:cs="仿宋"/>
                <w:kern w:val="0"/>
                <w:szCs w:val="21"/>
                <w:lang w:bidi="ar"/>
              </w:rPr>
              <w:t>，未提供进度控制措施及</w:t>
            </w:r>
            <w:r>
              <w:rPr>
                <w:rFonts w:hint="eastAsia" w:ascii="仿宋" w:hAnsi="仿宋" w:eastAsia="仿宋" w:cs="仿宋"/>
                <w:szCs w:val="21"/>
              </w:rPr>
              <w:t>资源配备计划</w:t>
            </w:r>
            <w:r>
              <w:rPr>
                <w:rFonts w:hint="eastAsia" w:ascii="仿宋" w:hAnsi="仿宋" w:eastAsia="仿宋" w:cs="仿宋"/>
                <w:kern w:val="0"/>
                <w:szCs w:val="21"/>
                <w:lang w:bidi="ar"/>
              </w:rPr>
              <w:t>的不计分。</w:t>
            </w:r>
          </w:p>
        </w:tc>
      </w:tr>
      <w:tr w14:paraId="3B57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82" w:type="dxa"/>
            <w:vMerge w:val="continue"/>
          </w:tcPr>
          <w:p w14:paraId="0008B903">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rPr>
            </w:pPr>
          </w:p>
        </w:tc>
        <w:tc>
          <w:tcPr>
            <w:tcW w:w="630" w:type="dxa"/>
            <w:vMerge w:val="continue"/>
          </w:tcPr>
          <w:p w14:paraId="0939FA5F">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rPr>
            </w:pPr>
          </w:p>
        </w:tc>
        <w:tc>
          <w:tcPr>
            <w:tcW w:w="1615" w:type="dxa"/>
            <w:vAlign w:val="center"/>
          </w:tcPr>
          <w:p w14:paraId="10D1538B">
            <w:pPr>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Cs w:val="21"/>
              </w:rPr>
            </w:pPr>
            <w:r>
              <w:rPr>
                <w:rFonts w:hint="eastAsia" w:ascii="宋体" w:hAnsi="宋体" w:cs="宋体"/>
                <w:kern w:val="0"/>
                <w:szCs w:val="21"/>
                <w:lang w:bidi="ar"/>
              </w:rPr>
              <w:t>质量保障体系与措施</w:t>
            </w:r>
          </w:p>
          <w:p w14:paraId="1E79FAE7">
            <w:pPr>
              <w:pageBreakBefore w:val="0"/>
              <w:tabs>
                <w:tab w:val="left" w:pos="312"/>
              </w:tabs>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auto"/>
                <w:szCs w:val="21"/>
                <w:vertAlign w:val="baseline"/>
              </w:rPr>
            </w:pPr>
          </w:p>
        </w:tc>
        <w:tc>
          <w:tcPr>
            <w:tcW w:w="582" w:type="dxa"/>
            <w:vAlign w:val="center"/>
          </w:tcPr>
          <w:p w14:paraId="280B4A7C">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default" w:ascii="仿宋" w:hAnsi="仿宋" w:eastAsia="仿宋" w:cs="仿宋"/>
                <w:b/>
                <w:color w:val="auto"/>
                <w:szCs w:val="21"/>
                <w:vertAlign w:val="baseline"/>
                <w:lang w:val="en-US" w:eastAsia="zh-CN"/>
              </w:rPr>
            </w:pPr>
            <w:r>
              <w:rPr>
                <w:rFonts w:hint="eastAsia" w:ascii="仿宋" w:hAnsi="仿宋" w:eastAsia="仿宋" w:cs="仿宋"/>
                <w:b/>
                <w:color w:val="auto"/>
                <w:szCs w:val="21"/>
                <w:vertAlign w:val="baseline"/>
                <w:lang w:val="en-US" w:eastAsia="zh-CN"/>
              </w:rPr>
              <w:t>10</w:t>
            </w:r>
          </w:p>
        </w:tc>
        <w:tc>
          <w:tcPr>
            <w:tcW w:w="6105" w:type="dxa"/>
            <w:vAlign w:val="center"/>
          </w:tcPr>
          <w:p w14:paraId="39A48061">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评审说明：</w:t>
            </w:r>
            <w:r>
              <w:rPr>
                <w:rFonts w:hint="eastAsia" w:ascii="仿宋" w:hAnsi="仿宋" w:eastAsia="仿宋" w:cs="仿宋"/>
                <w:kern w:val="0"/>
                <w:szCs w:val="21"/>
                <w:lang w:bidi="ar"/>
              </w:rPr>
              <w:t>根据</w:t>
            </w:r>
            <w:r>
              <w:rPr>
                <w:rFonts w:hint="eastAsia" w:ascii="仿宋" w:hAnsi="仿宋" w:eastAsia="仿宋" w:cs="仿宋"/>
                <w:kern w:val="0"/>
                <w:szCs w:val="21"/>
                <w:lang w:eastAsia="zh-CN" w:bidi="ar"/>
              </w:rPr>
              <w:t>供应商</w:t>
            </w:r>
            <w:r>
              <w:rPr>
                <w:rFonts w:hint="eastAsia" w:ascii="仿宋" w:hAnsi="仿宋" w:eastAsia="仿宋" w:cs="仿宋"/>
                <w:kern w:val="0"/>
                <w:szCs w:val="21"/>
                <w:lang w:bidi="ar"/>
              </w:rPr>
              <w:t xml:space="preserve">针对本项目提出的质量保障体系与措施，按下列分项量化指标进行逐项对应评价计分： </w:t>
            </w:r>
          </w:p>
          <w:p w14:paraId="4BD5156C">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量化指标：</w:t>
            </w:r>
            <w:r>
              <w:rPr>
                <w:rFonts w:hint="eastAsia" w:ascii="仿宋" w:hAnsi="仿宋" w:eastAsia="仿宋" w:cs="仿宋"/>
                <w:kern w:val="0"/>
                <w:szCs w:val="21"/>
                <w:lang w:bidi="ar"/>
              </w:rPr>
              <w:t xml:space="preserve">1、质量目标；2、管理制度；3、实施与监控措施；4、工程经验丰富，管理手段先进。 </w:t>
            </w:r>
          </w:p>
          <w:p w14:paraId="6D83D68C">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评分标准：</w:t>
            </w:r>
            <w:r>
              <w:rPr>
                <w:rFonts w:hint="eastAsia" w:ascii="仿宋" w:hAnsi="仿宋" w:eastAsia="仿宋" w:cs="仿宋"/>
                <w:kern w:val="0"/>
                <w:szCs w:val="21"/>
                <w:lang w:bidi="ar"/>
              </w:rPr>
              <w:t>对照上列 4 项量化指标，每项按下列对应分值进行评分：①方案内容齐全，措施有效可行的</w:t>
            </w:r>
            <w:r>
              <w:rPr>
                <w:rFonts w:hint="eastAsia" w:ascii="仿宋" w:hAnsi="仿宋" w:eastAsia="仿宋" w:cs="仿宋"/>
                <w:b/>
                <w:bCs/>
                <w:kern w:val="0"/>
                <w:szCs w:val="21"/>
                <w:lang w:bidi="ar"/>
              </w:rPr>
              <w:t xml:space="preserve">计 </w:t>
            </w:r>
            <w:r>
              <w:rPr>
                <w:rFonts w:hint="eastAsia" w:ascii="仿宋" w:hAnsi="仿宋" w:eastAsia="仿宋" w:cs="仿宋"/>
                <w:b/>
                <w:bCs/>
                <w:kern w:val="0"/>
                <w:szCs w:val="21"/>
                <w:lang w:val="en-US" w:eastAsia="zh-CN" w:bidi="ar"/>
              </w:rPr>
              <w:t>2.5</w:t>
            </w:r>
            <w:r>
              <w:rPr>
                <w:rFonts w:hint="eastAsia" w:ascii="仿宋" w:hAnsi="仿宋" w:eastAsia="仿宋" w:cs="仿宋"/>
                <w:b/>
                <w:bCs/>
                <w:kern w:val="0"/>
                <w:szCs w:val="21"/>
                <w:lang w:bidi="ar"/>
              </w:rPr>
              <w:t>分</w:t>
            </w:r>
            <w:r>
              <w:rPr>
                <w:rFonts w:hint="eastAsia" w:ascii="仿宋" w:hAnsi="仿宋" w:eastAsia="仿宋" w:cs="仿宋"/>
                <w:kern w:val="0"/>
                <w:szCs w:val="21"/>
                <w:lang w:bidi="ar"/>
              </w:rPr>
              <w:t>；②方案内容较齐全，措施较有效可行的</w:t>
            </w:r>
            <w:r>
              <w:rPr>
                <w:rFonts w:hint="eastAsia" w:ascii="仿宋" w:hAnsi="仿宋" w:eastAsia="仿宋" w:cs="仿宋"/>
                <w:b/>
                <w:bCs/>
                <w:kern w:val="0"/>
                <w:szCs w:val="21"/>
                <w:lang w:bidi="ar"/>
              </w:rPr>
              <w:t xml:space="preserve">计 </w:t>
            </w:r>
            <w:r>
              <w:rPr>
                <w:rFonts w:hint="eastAsia" w:ascii="仿宋" w:hAnsi="仿宋" w:eastAsia="仿宋" w:cs="仿宋"/>
                <w:b/>
                <w:bCs/>
                <w:kern w:val="0"/>
                <w:szCs w:val="21"/>
                <w:lang w:val="en-US" w:eastAsia="zh-CN" w:bidi="ar"/>
              </w:rPr>
              <w:t>2</w:t>
            </w:r>
            <w:r>
              <w:rPr>
                <w:rFonts w:hint="eastAsia" w:ascii="仿宋" w:hAnsi="仿宋" w:eastAsia="仿宋" w:cs="仿宋"/>
                <w:b/>
                <w:bCs/>
                <w:kern w:val="0"/>
                <w:szCs w:val="21"/>
                <w:lang w:bidi="ar"/>
              </w:rPr>
              <w:t>分</w:t>
            </w:r>
            <w:r>
              <w:rPr>
                <w:rFonts w:hint="eastAsia" w:ascii="仿宋" w:hAnsi="仿宋" w:eastAsia="仿宋" w:cs="仿宋"/>
                <w:kern w:val="0"/>
                <w:szCs w:val="21"/>
                <w:lang w:bidi="ar"/>
              </w:rPr>
              <w:t>；③方案内容有缺漏，措施可行性一般的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w:t>
            </w:r>
            <w:r>
              <w:rPr>
                <w:rFonts w:hint="eastAsia" w:ascii="仿宋" w:hAnsi="仿宋" w:eastAsia="仿宋" w:cs="仿宋"/>
                <w:b/>
                <w:bCs/>
                <w:kern w:val="0"/>
                <w:szCs w:val="21"/>
                <w:lang w:bidi="ar"/>
              </w:rPr>
              <w:t>.5分</w:t>
            </w:r>
            <w:r>
              <w:rPr>
                <w:rFonts w:hint="eastAsia" w:ascii="仿宋" w:hAnsi="仿宋" w:eastAsia="仿宋" w:cs="仿宋"/>
                <w:kern w:val="0"/>
                <w:szCs w:val="21"/>
                <w:lang w:bidi="ar"/>
              </w:rPr>
              <w:t xml:space="preserve">。 </w:t>
            </w:r>
          </w:p>
          <w:p w14:paraId="2A0C5C62">
            <w:pPr>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kern w:val="0"/>
                <w:szCs w:val="21"/>
                <w:lang w:bidi="ar"/>
              </w:rPr>
              <w:t>本项“</w:t>
            </w:r>
            <w:r>
              <w:rPr>
                <w:rFonts w:hint="eastAsia" w:ascii="仿宋" w:hAnsi="仿宋" w:eastAsia="仿宋" w:cs="仿宋"/>
                <w:b/>
                <w:bCs/>
                <w:kern w:val="0"/>
                <w:szCs w:val="21"/>
                <w:lang w:bidi="ar"/>
              </w:rPr>
              <w:t>质量保障体系与措施</w:t>
            </w:r>
            <w:r>
              <w:rPr>
                <w:rFonts w:hint="eastAsia" w:ascii="仿宋" w:hAnsi="仿宋" w:eastAsia="仿宋" w:cs="仿宋"/>
                <w:kern w:val="0"/>
                <w:szCs w:val="21"/>
                <w:lang w:bidi="ar"/>
              </w:rPr>
              <w:t>”评审因素汇总（1至4项）得分最多</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10</w:t>
            </w:r>
            <w:r>
              <w:rPr>
                <w:rFonts w:hint="eastAsia" w:ascii="仿宋" w:hAnsi="仿宋" w:eastAsia="仿宋" w:cs="仿宋"/>
                <w:b/>
                <w:bCs/>
                <w:kern w:val="0"/>
                <w:szCs w:val="21"/>
                <w:lang w:bidi="ar"/>
              </w:rPr>
              <w:t>分</w:t>
            </w:r>
            <w:r>
              <w:rPr>
                <w:rFonts w:hint="eastAsia" w:ascii="仿宋" w:hAnsi="仿宋" w:eastAsia="仿宋" w:cs="仿宋"/>
                <w:kern w:val="0"/>
                <w:szCs w:val="21"/>
                <w:lang w:bidi="ar"/>
              </w:rPr>
              <w:t>，未提供质量保障体系与措施的不计分。</w:t>
            </w:r>
          </w:p>
        </w:tc>
      </w:tr>
      <w:tr w14:paraId="408A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82" w:type="dxa"/>
            <w:vMerge w:val="continue"/>
          </w:tcPr>
          <w:p w14:paraId="09F65FB7">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rPr>
            </w:pPr>
          </w:p>
        </w:tc>
        <w:tc>
          <w:tcPr>
            <w:tcW w:w="630" w:type="dxa"/>
            <w:vMerge w:val="continue"/>
          </w:tcPr>
          <w:p w14:paraId="78351385">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rPr>
            </w:pPr>
          </w:p>
        </w:tc>
        <w:tc>
          <w:tcPr>
            <w:tcW w:w="1615" w:type="dxa"/>
            <w:vAlign w:val="center"/>
          </w:tcPr>
          <w:p w14:paraId="76B6B265">
            <w:pPr>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Cs w:val="21"/>
              </w:rPr>
            </w:pPr>
            <w:r>
              <w:rPr>
                <w:rFonts w:hint="eastAsia" w:ascii="宋体" w:hAnsi="宋体" w:cs="宋体"/>
                <w:kern w:val="0"/>
                <w:szCs w:val="21"/>
                <w:lang w:bidi="ar"/>
              </w:rPr>
              <w:t>安全保障体系与措施</w:t>
            </w:r>
          </w:p>
          <w:p w14:paraId="6171BD7F">
            <w:pPr>
              <w:pageBreakBefore w:val="0"/>
              <w:tabs>
                <w:tab w:val="left" w:pos="312"/>
              </w:tabs>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auto"/>
                <w:szCs w:val="21"/>
                <w:vertAlign w:val="baseline"/>
              </w:rPr>
            </w:pPr>
          </w:p>
        </w:tc>
        <w:tc>
          <w:tcPr>
            <w:tcW w:w="582" w:type="dxa"/>
            <w:vAlign w:val="center"/>
          </w:tcPr>
          <w:p w14:paraId="44EB48B9">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default" w:ascii="仿宋" w:hAnsi="仿宋" w:eastAsia="仿宋" w:cs="仿宋"/>
                <w:b/>
                <w:color w:val="auto"/>
                <w:szCs w:val="21"/>
                <w:vertAlign w:val="baseline"/>
                <w:lang w:val="en-US" w:eastAsia="zh-CN"/>
              </w:rPr>
            </w:pPr>
            <w:r>
              <w:rPr>
                <w:rFonts w:hint="eastAsia" w:ascii="仿宋" w:hAnsi="仿宋" w:eastAsia="仿宋" w:cs="仿宋"/>
                <w:b/>
                <w:color w:val="auto"/>
                <w:szCs w:val="21"/>
                <w:vertAlign w:val="baseline"/>
                <w:lang w:val="en-US" w:eastAsia="zh-CN"/>
              </w:rPr>
              <w:t>10</w:t>
            </w:r>
          </w:p>
        </w:tc>
        <w:tc>
          <w:tcPr>
            <w:tcW w:w="6105" w:type="dxa"/>
            <w:vAlign w:val="center"/>
          </w:tcPr>
          <w:p w14:paraId="5CF06DD2">
            <w:pPr>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szCs w:val="21"/>
              </w:rPr>
            </w:pPr>
            <w:r>
              <w:rPr>
                <w:rFonts w:hint="eastAsia" w:ascii="仿宋" w:hAnsi="仿宋" w:eastAsia="仿宋" w:cs="仿宋"/>
                <w:b/>
                <w:bCs/>
                <w:kern w:val="0"/>
                <w:szCs w:val="21"/>
                <w:lang w:bidi="ar"/>
              </w:rPr>
              <w:t>评审说明：</w:t>
            </w:r>
            <w:r>
              <w:rPr>
                <w:rFonts w:hint="eastAsia" w:ascii="仿宋" w:hAnsi="仿宋" w:eastAsia="仿宋" w:cs="仿宋"/>
                <w:kern w:val="0"/>
                <w:szCs w:val="21"/>
                <w:lang w:bidi="ar"/>
              </w:rPr>
              <w:t>根据</w:t>
            </w:r>
            <w:r>
              <w:rPr>
                <w:rFonts w:hint="eastAsia" w:ascii="仿宋" w:hAnsi="仿宋" w:eastAsia="仿宋" w:cs="仿宋"/>
                <w:kern w:val="0"/>
                <w:szCs w:val="21"/>
                <w:lang w:eastAsia="zh-CN" w:bidi="ar"/>
              </w:rPr>
              <w:t>供应商</w:t>
            </w:r>
            <w:r>
              <w:rPr>
                <w:rFonts w:hint="eastAsia" w:ascii="仿宋" w:hAnsi="仿宋" w:eastAsia="仿宋" w:cs="仿宋"/>
                <w:kern w:val="0"/>
                <w:szCs w:val="21"/>
                <w:lang w:bidi="ar"/>
              </w:rPr>
              <w:t>针对本项目提出的安全保障体系与措施，按下列分项量化指标进行逐项对应评价计分：</w:t>
            </w:r>
          </w:p>
          <w:p w14:paraId="3E71AFB5">
            <w:pPr>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szCs w:val="21"/>
              </w:rPr>
            </w:pPr>
            <w:r>
              <w:rPr>
                <w:rFonts w:hint="eastAsia" w:ascii="仿宋" w:hAnsi="仿宋" w:eastAsia="仿宋" w:cs="仿宋"/>
                <w:b/>
                <w:bCs/>
                <w:kern w:val="0"/>
                <w:szCs w:val="21"/>
                <w:lang w:bidi="ar"/>
              </w:rPr>
              <w:t>量化指标：</w:t>
            </w:r>
            <w:r>
              <w:rPr>
                <w:rFonts w:hint="eastAsia" w:ascii="仿宋" w:hAnsi="仿宋" w:eastAsia="仿宋" w:cs="仿宋"/>
                <w:kern w:val="0"/>
                <w:szCs w:val="21"/>
                <w:lang w:bidi="ar"/>
              </w:rPr>
              <w:t xml:space="preserve">1、安全目标；2、安全制度；3、实施与监控措施；4、施工总平面布置，功能分区合理，满足施工需要； </w:t>
            </w:r>
          </w:p>
          <w:p w14:paraId="3C73D035">
            <w:pPr>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szCs w:val="21"/>
              </w:rPr>
            </w:pPr>
            <w:r>
              <w:rPr>
                <w:rFonts w:hint="eastAsia" w:ascii="仿宋" w:hAnsi="仿宋" w:eastAsia="仿宋" w:cs="仿宋"/>
                <w:b/>
                <w:bCs/>
                <w:kern w:val="0"/>
                <w:szCs w:val="21"/>
                <w:lang w:bidi="ar"/>
              </w:rPr>
              <w:t>评分标准：</w:t>
            </w:r>
            <w:r>
              <w:rPr>
                <w:rFonts w:hint="eastAsia" w:ascii="仿宋" w:hAnsi="仿宋" w:eastAsia="仿宋" w:cs="仿宋"/>
                <w:kern w:val="0"/>
                <w:szCs w:val="21"/>
                <w:lang w:bidi="ar"/>
              </w:rPr>
              <w:t>对照上列 4 项量化指标，每项按下列对应分值进行评分：①方案内容齐全，措施有效可行的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2</w:t>
            </w:r>
            <w:r>
              <w:rPr>
                <w:rFonts w:hint="eastAsia" w:ascii="仿宋" w:hAnsi="仿宋" w:eastAsia="仿宋" w:cs="仿宋"/>
                <w:b/>
                <w:bCs/>
                <w:kern w:val="0"/>
                <w:szCs w:val="21"/>
                <w:lang w:bidi="ar"/>
              </w:rPr>
              <w:t>.5分</w:t>
            </w:r>
            <w:r>
              <w:rPr>
                <w:rFonts w:hint="eastAsia" w:ascii="仿宋" w:hAnsi="仿宋" w:eastAsia="仿宋" w:cs="仿宋"/>
                <w:kern w:val="0"/>
                <w:szCs w:val="21"/>
                <w:lang w:bidi="ar"/>
              </w:rPr>
              <w:t>；②方案内容较齐全，措施较有效可行的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2</w:t>
            </w:r>
            <w:r>
              <w:rPr>
                <w:rFonts w:hint="eastAsia" w:ascii="仿宋" w:hAnsi="仿宋" w:eastAsia="仿宋" w:cs="仿宋"/>
                <w:b/>
                <w:bCs/>
                <w:kern w:val="0"/>
                <w:szCs w:val="21"/>
                <w:lang w:bidi="ar"/>
              </w:rPr>
              <w:t>分</w:t>
            </w:r>
            <w:r>
              <w:rPr>
                <w:rFonts w:hint="eastAsia" w:ascii="仿宋" w:hAnsi="仿宋" w:eastAsia="仿宋" w:cs="仿宋"/>
                <w:kern w:val="0"/>
                <w:szCs w:val="21"/>
                <w:lang w:bidi="ar"/>
              </w:rPr>
              <w:t>；③方案内容有缺漏，措施可行性一般的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w:t>
            </w:r>
            <w:r>
              <w:rPr>
                <w:rFonts w:hint="eastAsia" w:ascii="仿宋" w:hAnsi="仿宋" w:eastAsia="仿宋" w:cs="仿宋"/>
                <w:b/>
                <w:bCs/>
                <w:kern w:val="0"/>
                <w:szCs w:val="21"/>
                <w:lang w:bidi="ar"/>
              </w:rPr>
              <w:t>.5分</w:t>
            </w:r>
            <w:r>
              <w:rPr>
                <w:rFonts w:hint="eastAsia" w:ascii="仿宋" w:hAnsi="仿宋" w:eastAsia="仿宋" w:cs="仿宋"/>
                <w:kern w:val="0"/>
                <w:szCs w:val="21"/>
                <w:lang w:bidi="ar"/>
              </w:rPr>
              <w:t xml:space="preserve">。 </w:t>
            </w:r>
          </w:p>
          <w:p w14:paraId="0C6062C2">
            <w:pPr>
              <w:pageBreakBefore w:val="0"/>
              <w:widowControl/>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kern w:val="0"/>
                <w:szCs w:val="21"/>
                <w:lang w:bidi="ar"/>
              </w:rPr>
              <w:t>本项“</w:t>
            </w:r>
            <w:r>
              <w:rPr>
                <w:rFonts w:hint="eastAsia" w:ascii="仿宋" w:hAnsi="仿宋" w:eastAsia="仿宋" w:cs="仿宋"/>
                <w:b/>
                <w:bCs/>
                <w:kern w:val="0"/>
                <w:szCs w:val="21"/>
                <w:lang w:bidi="ar"/>
              </w:rPr>
              <w:t>安全保障体系与措施</w:t>
            </w:r>
            <w:r>
              <w:rPr>
                <w:rFonts w:hint="eastAsia" w:ascii="仿宋" w:hAnsi="仿宋" w:eastAsia="仿宋" w:cs="仿宋"/>
                <w:kern w:val="0"/>
                <w:szCs w:val="21"/>
                <w:lang w:bidi="ar"/>
              </w:rPr>
              <w:t>”评审因素汇总（1至4项）得分最多计</w:t>
            </w:r>
            <w:r>
              <w:rPr>
                <w:rFonts w:hint="eastAsia" w:ascii="仿宋" w:hAnsi="仿宋" w:eastAsia="仿宋" w:cs="仿宋"/>
                <w:kern w:val="0"/>
                <w:szCs w:val="21"/>
                <w:lang w:val="en-US" w:eastAsia="zh-CN" w:bidi="ar"/>
              </w:rPr>
              <w:t>10</w:t>
            </w:r>
            <w:r>
              <w:rPr>
                <w:rFonts w:hint="eastAsia" w:ascii="仿宋" w:hAnsi="仿宋" w:eastAsia="仿宋" w:cs="仿宋"/>
                <w:kern w:val="0"/>
                <w:szCs w:val="21"/>
                <w:lang w:bidi="ar"/>
              </w:rPr>
              <w:t>分，未提供安全保障体系与措施的不计分。</w:t>
            </w:r>
          </w:p>
        </w:tc>
      </w:tr>
      <w:tr w14:paraId="0DC7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82" w:type="dxa"/>
            <w:vMerge w:val="continue"/>
          </w:tcPr>
          <w:p w14:paraId="52DE0FFD">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rPr>
            </w:pPr>
          </w:p>
        </w:tc>
        <w:tc>
          <w:tcPr>
            <w:tcW w:w="630" w:type="dxa"/>
            <w:vMerge w:val="continue"/>
          </w:tcPr>
          <w:p w14:paraId="2929233B">
            <w:pPr>
              <w:pStyle w:val="5"/>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vertAlign w:val="baseline"/>
              </w:rPr>
            </w:pPr>
          </w:p>
        </w:tc>
        <w:tc>
          <w:tcPr>
            <w:tcW w:w="1615" w:type="dxa"/>
            <w:vAlign w:val="center"/>
          </w:tcPr>
          <w:p w14:paraId="0D9E7D86">
            <w:pPr>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Cs w:val="21"/>
              </w:rPr>
            </w:pPr>
            <w:r>
              <w:rPr>
                <w:rFonts w:hint="eastAsia" w:ascii="宋体" w:hAnsi="宋体" w:cs="宋体"/>
                <w:kern w:val="0"/>
                <w:szCs w:val="21"/>
                <w:lang w:bidi="ar"/>
              </w:rPr>
              <w:t>环境保护体系与措施</w:t>
            </w:r>
          </w:p>
          <w:p w14:paraId="76B2F950">
            <w:pPr>
              <w:pageBreakBefore w:val="0"/>
              <w:tabs>
                <w:tab w:val="left" w:pos="312"/>
              </w:tabs>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auto"/>
                <w:szCs w:val="21"/>
                <w:vertAlign w:val="baseline"/>
              </w:rPr>
            </w:pPr>
          </w:p>
        </w:tc>
        <w:tc>
          <w:tcPr>
            <w:tcW w:w="582" w:type="dxa"/>
            <w:vAlign w:val="center"/>
          </w:tcPr>
          <w:p w14:paraId="16E8A777">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default" w:ascii="仿宋" w:hAnsi="仿宋" w:eastAsia="仿宋" w:cs="仿宋"/>
                <w:b/>
                <w:color w:val="auto"/>
                <w:szCs w:val="21"/>
                <w:vertAlign w:val="baseline"/>
                <w:lang w:val="en-US" w:eastAsia="zh-CN"/>
              </w:rPr>
            </w:pPr>
            <w:r>
              <w:rPr>
                <w:rFonts w:hint="eastAsia" w:ascii="仿宋" w:hAnsi="仿宋" w:eastAsia="仿宋" w:cs="仿宋"/>
                <w:b/>
                <w:color w:val="auto"/>
                <w:szCs w:val="21"/>
                <w:vertAlign w:val="baseline"/>
                <w:lang w:val="en-US" w:eastAsia="zh-CN"/>
              </w:rPr>
              <w:t>10</w:t>
            </w:r>
          </w:p>
        </w:tc>
        <w:tc>
          <w:tcPr>
            <w:tcW w:w="6105" w:type="dxa"/>
            <w:vAlign w:val="center"/>
          </w:tcPr>
          <w:p w14:paraId="0B699354">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评审说明：</w:t>
            </w:r>
            <w:r>
              <w:rPr>
                <w:rFonts w:hint="eastAsia" w:ascii="仿宋" w:hAnsi="仿宋" w:eastAsia="仿宋" w:cs="仿宋"/>
                <w:kern w:val="0"/>
                <w:szCs w:val="21"/>
                <w:lang w:bidi="ar"/>
              </w:rPr>
              <w:t>根据</w:t>
            </w:r>
            <w:r>
              <w:rPr>
                <w:rFonts w:hint="eastAsia" w:ascii="仿宋" w:hAnsi="仿宋" w:eastAsia="仿宋" w:cs="仿宋"/>
                <w:kern w:val="0"/>
                <w:szCs w:val="21"/>
                <w:lang w:eastAsia="zh-CN" w:bidi="ar"/>
              </w:rPr>
              <w:t>供应商</w:t>
            </w:r>
            <w:r>
              <w:rPr>
                <w:rFonts w:hint="eastAsia" w:ascii="仿宋" w:hAnsi="仿宋" w:eastAsia="仿宋" w:cs="仿宋"/>
                <w:kern w:val="0"/>
                <w:szCs w:val="21"/>
                <w:lang w:bidi="ar"/>
              </w:rPr>
              <w:t xml:space="preserve">针对本项目提出的环境保护体系与措施，按下列分项量化指标进行逐项对应评价计分： </w:t>
            </w:r>
          </w:p>
          <w:p w14:paraId="4B45EF9D">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量化指标：</w:t>
            </w:r>
            <w:r>
              <w:rPr>
                <w:rFonts w:hint="eastAsia" w:ascii="仿宋" w:hAnsi="仿宋" w:eastAsia="仿宋" w:cs="仿宋"/>
                <w:kern w:val="0"/>
                <w:szCs w:val="21"/>
                <w:lang w:bidi="ar"/>
              </w:rPr>
              <w:t xml:space="preserve">1、环境管理目标、；2、施工现场和生活区环境保护措施；3、环境保护保证体系框架的设置；4、实施与监控措施 </w:t>
            </w:r>
          </w:p>
          <w:p w14:paraId="079E584D">
            <w:pPr>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szCs w:val="21"/>
              </w:rPr>
            </w:pPr>
            <w:r>
              <w:rPr>
                <w:rFonts w:hint="eastAsia" w:ascii="仿宋" w:hAnsi="仿宋" w:eastAsia="仿宋" w:cs="仿宋"/>
                <w:b/>
                <w:bCs/>
                <w:kern w:val="0"/>
                <w:szCs w:val="21"/>
                <w:lang w:bidi="ar"/>
              </w:rPr>
              <w:t>评分标准：</w:t>
            </w:r>
            <w:r>
              <w:rPr>
                <w:rFonts w:hint="eastAsia" w:ascii="仿宋" w:hAnsi="仿宋" w:eastAsia="仿宋" w:cs="仿宋"/>
                <w:kern w:val="0"/>
                <w:szCs w:val="21"/>
                <w:lang w:bidi="ar"/>
              </w:rPr>
              <w:t>对照上列 4 项量化指标，每项按下列对应分值进行评分：①方案内容齐全，措施有效可行的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2</w:t>
            </w:r>
            <w:r>
              <w:rPr>
                <w:rFonts w:hint="eastAsia" w:ascii="仿宋" w:hAnsi="仿宋" w:eastAsia="仿宋" w:cs="仿宋"/>
                <w:b/>
                <w:bCs/>
                <w:kern w:val="0"/>
                <w:szCs w:val="21"/>
                <w:lang w:bidi="ar"/>
              </w:rPr>
              <w:t>.5分</w:t>
            </w:r>
            <w:r>
              <w:rPr>
                <w:rFonts w:hint="eastAsia" w:ascii="仿宋" w:hAnsi="仿宋" w:eastAsia="仿宋" w:cs="仿宋"/>
                <w:kern w:val="0"/>
                <w:szCs w:val="21"/>
                <w:lang w:bidi="ar"/>
              </w:rPr>
              <w:t>；②方案内容较齐全，措施较有效可行的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2</w:t>
            </w:r>
            <w:r>
              <w:rPr>
                <w:rFonts w:hint="eastAsia" w:ascii="仿宋" w:hAnsi="仿宋" w:eastAsia="仿宋" w:cs="仿宋"/>
                <w:b/>
                <w:bCs/>
                <w:kern w:val="0"/>
                <w:szCs w:val="21"/>
                <w:lang w:bidi="ar"/>
              </w:rPr>
              <w:t>分</w:t>
            </w:r>
            <w:r>
              <w:rPr>
                <w:rFonts w:hint="eastAsia" w:ascii="仿宋" w:hAnsi="仿宋" w:eastAsia="仿宋" w:cs="仿宋"/>
                <w:kern w:val="0"/>
                <w:szCs w:val="21"/>
                <w:lang w:bidi="ar"/>
              </w:rPr>
              <w:t>；③方案内容有缺漏，措施可行性一般的</w:t>
            </w:r>
            <w:r>
              <w:rPr>
                <w:rFonts w:hint="eastAsia" w:ascii="仿宋" w:hAnsi="仿宋" w:eastAsia="仿宋" w:cs="仿宋"/>
                <w:b/>
                <w:bCs/>
                <w:kern w:val="0"/>
                <w:szCs w:val="21"/>
                <w:lang w:bidi="ar"/>
              </w:rPr>
              <w:t>计</w:t>
            </w:r>
            <w:r>
              <w:rPr>
                <w:rFonts w:hint="eastAsia" w:ascii="仿宋" w:hAnsi="仿宋" w:eastAsia="仿宋" w:cs="仿宋"/>
                <w:b/>
                <w:bCs/>
                <w:kern w:val="0"/>
                <w:szCs w:val="21"/>
                <w:lang w:val="en-US" w:eastAsia="zh-CN" w:bidi="ar"/>
              </w:rPr>
              <w:t>1</w:t>
            </w:r>
            <w:r>
              <w:rPr>
                <w:rFonts w:hint="eastAsia" w:ascii="仿宋" w:hAnsi="仿宋" w:eastAsia="仿宋" w:cs="仿宋"/>
                <w:b/>
                <w:bCs/>
                <w:kern w:val="0"/>
                <w:szCs w:val="21"/>
                <w:lang w:bidi="ar"/>
              </w:rPr>
              <w:t>.5分</w:t>
            </w:r>
            <w:r>
              <w:rPr>
                <w:rFonts w:hint="eastAsia" w:ascii="仿宋" w:hAnsi="仿宋" w:eastAsia="仿宋" w:cs="仿宋"/>
                <w:kern w:val="0"/>
                <w:szCs w:val="21"/>
                <w:lang w:bidi="ar"/>
              </w:rPr>
              <w:t xml:space="preserve">。 </w:t>
            </w:r>
          </w:p>
          <w:p w14:paraId="17837D3D">
            <w:pPr>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kern w:val="0"/>
                <w:szCs w:val="21"/>
                <w:lang w:bidi="ar"/>
              </w:rPr>
              <w:t>本项“</w:t>
            </w:r>
            <w:r>
              <w:rPr>
                <w:rFonts w:hint="eastAsia" w:ascii="仿宋" w:hAnsi="仿宋" w:eastAsia="仿宋" w:cs="仿宋"/>
                <w:b/>
                <w:bCs/>
                <w:kern w:val="0"/>
                <w:szCs w:val="21"/>
                <w:lang w:bidi="ar"/>
              </w:rPr>
              <w:t>环境保护体系与措施</w:t>
            </w:r>
            <w:r>
              <w:rPr>
                <w:rFonts w:hint="eastAsia" w:ascii="仿宋" w:hAnsi="仿宋" w:eastAsia="仿宋" w:cs="仿宋"/>
                <w:kern w:val="0"/>
                <w:szCs w:val="21"/>
                <w:lang w:bidi="ar"/>
              </w:rPr>
              <w:t>”评审因素汇总（1至 4 项）得分最多计</w:t>
            </w:r>
            <w:r>
              <w:rPr>
                <w:rFonts w:hint="eastAsia" w:ascii="仿宋" w:hAnsi="仿宋" w:eastAsia="仿宋" w:cs="仿宋"/>
                <w:kern w:val="0"/>
                <w:szCs w:val="21"/>
                <w:lang w:val="en-US" w:eastAsia="zh-CN" w:bidi="ar"/>
              </w:rPr>
              <w:t>10</w:t>
            </w:r>
            <w:r>
              <w:rPr>
                <w:rFonts w:hint="eastAsia" w:ascii="仿宋" w:hAnsi="仿宋" w:eastAsia="仿宋" w:cs="仿宋"/>
                <w:kern w:val="0"/>
                <w:szCs w:val="21"/>
                <w:lang w:bidi="ar"/>
              </w:rPr>
              <w:t>分，未提供环境保护体系与措施的不计分。</w:t>
            </w:r>
          </w:p>
        </w:tc>
      </w:tr>
    </w:tbl>
    <w:p w14:paraId="257C2C62">
      <w:pPr>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color w:val="auto"/>
          <w:szCs w:val="21"/>
        </w:rPr>
      </w:pPr>
    </w:p>
    <w:p w14:paraId="61206020">
      <w:pPr>
        <w:pStyle w:val="25"/>
        <w:ind w:left="0" w:leftChars="0" w:firstLine="0" w:firstLineChars="0"/>
        <w:rPr>
          <w:rFonts w:hint="eastAsia"/>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88"/>
        <w:gridCol w:w="784"/>
        <w:gridCol w:w="616"/>
        <w:gridCol w:w="6694"/>
      </w:tblGrid>
      <w:tr w14:paraId="3AD7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6BE1B5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rPr>
              <w:t>序号</w:t>
            </w:r>
          </w:p>
        </w:tc>
        <w:tc>
          <w:tcPr>
            <w:tcW w:w="788" w:type="dxa"/>
            <w:vAlign w:val="center"/>
          </w:tcPr>
          <w:p w14:paraId="02BD1B8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lang w:val="en-US" w:eastAsia="zh-CN"/>
              </w:rPr>
              <w:t>分类</w:t>
            </w:r>
          </w:p>
        </w:tc>
        <w:tc>
          <w:tcPr>
            <w:tcW w:w="784" w:type="dxa"/>
            <w:vAlign w:val="center"/>
          </w:tcPr>
          <w:p w14:paraId="422A17B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lang w:val="en-US" w:eastAsia="zh-CN"/>
              </w:rPr>
              <w:t>评审</w:t>
            </w:r>
            <w:r>
              <w:rPr>
                <w:rFonts w:hint="eastAsia" w:ascii="仿宋" w:hAnsi="仿宋" w:eastAsia="仿宋" w:cs="仿宋"/>
                <w:b/>
                <w:bCs/>
                <w:color w:val="auto"/>
                <w:sz w:val="21"/>
                <w:szCs w:val="21"/>
              </w:rPr>
              <w:t>因素</w:t>
            </w:r>
          </w:p>
        </w:tc>
        <w:tc>
          <w:tcPr>
            <w:tcW w:w="616" w:type="dxa"/>
            <w:vAlign w:val="center"/>
          </w:tcPr>
          <w:p w14:paraId="117E1BD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rPr>
              <w:t>分值</w:t>
            </w:r>
          </w:p>
        </w:tc>
        <w:tc>
          <w:tcPr>
            <w:tcW w:w="6694" w:type="dxa"/>
            <w:vAlign w:val="center"/>
          </w:tcPr>
          <w:p w14:paraId="54C7A07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b/>
                <w:bCs/>
                <w:color w:val="auto"/>
                <w:sz w:val="21"/>
                <w:szCs w:val="21"/>
              </w:rPr>
              <w:t>评分标准</w:t>
            </w:r>
          </w:p>
        </w:tc>
      </w:tr>
      <w:tr w14:paraId="7410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Merge w:val="restart"/>
            <w:vAlign w:val="center"/>
          </w:tcPr>
          <w:p w14:paraId="73AA4CC0">
            <w:pPr>
              <w:pStyle w:val="5"/>
              <w:jc w:val="center"/>
              <w:rPr>
                <w:rFonts w:hint="eastAsia" w:ascii="仿宋" w:hAnsi="仿宋" w:eastAsia="仿宋" w:cs="仿宋"/>
                <w:b/>
                <w:color w:val="auto"/>
                <w:szCs w:val="21"/>
                <w:vertAlign w:val="baseline"/>
                <w:lang w:val="en-US" w:eastAsia="zh-CN"/>
              </w:rPr>
            </w:pPr>
            <w:r>
              <w:rPr>
                <w:rFonts w:hint="eastAsia" w:ascii="仿宋" w:hAnsi="仿宋" w:eastAsia="仿宋" w:cs="仿宋"/>
                <w:b/>
                <w:color w:val="auto"/>
                <w:szCs w:val="21"/>
                <w:vertAlign w:val="baseline"/>
                <w:lang w:val="en-US" w:eastAsia="zh-CN"/>
              </w:rPr>
              <w:t>3</w:t>
            </w:r>
          </w:p>
        </w:tc>
        <w:tc>
          <w:tcPr>
            <w:tcW w:w="788" w:type="dxa"/>
            <w:vMerge w:val="restart"/>
          </w:tcPr>
          <w:p w14:paraId="2EEA61ED">
            <w:pPr>
              <w:pStyle w:val="5"/>
              <w:rPr>
                <w:rFonts w:hint="default"/>
                <w:lang w:val="en-US" w:eastAsia="zh-CN"/>
              </w:rPr>
            </w:pPr>
            <w:r>
              <w:rPr>
                <w:rFonts w:hint="eastAsia" w:ascii="仿宋" w:hAnsi="仿宋" w:eastAsia="仿宋" w:cs="仿宋"/>
                <w:b/>
                <w:bCs/>
                <w:color w:val="auto"/>
                <w:kern w:val="2"/>
                <w:sz w:val="21"/>
                <w:szCs w:val="21"/>
                <w:lang w:val="en-US" w:eastAsia="zh-CN" w:bidi="ar-SA"/>
              </w:rPr>
              <w:t>商务部分40分</w:t>
            </w:r>
          </w:p>
        </w:tc>
        <w:tc>
          <w:tcPr>
            <w:tcW w:w="784" w:type="dxa"/>
            <w:vAlign w:val="center"/>
          </w:tcPr>
          <w:p w14:paraId="1CA4114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color w:val="auto"/>
                <w:szCs w:val="21"/>
                <w:vertAlign w:val="baseline"/>
              </w:rPr>
            </w:pPr>
            <w:r>
              <w:rPr>
                <w:rFonts w:hint="eastAsia" w:ascii="仿宋" w:hAnsi="仿宋" w:eastAsia="仿宋" w:cs="仿宋"/>
              </w:rPr>
              <w:t>类似业绩</w:t>
            </w:r>
          </w:p>
        </w:tc>
        <w:tc>
          <w:tcPr>
            <w:tcW w:w="616" w:type="dxa"/>
            <w:vAlign w:val="center"/>
          </w:tcPr>
          <w:p w14:paraId="481F14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仿宋" w:hAnsi="仿宋" w:eastAsia="仿宋" w:cs="仿宋"/>
                <w:b/>
                <w:color w:val="auto"/>
                <w:szCs w:val="21"/>
                <w:vertAlign w:val="baseline"/>
                <w:lang w:val="en-US" w:eastAsia="zh-CN"/>
              </w:rPr>
            </w:pPr>
            <w:r>
              <w:rPr>
                <w:rFonts w:hint="eastAsia" w:ascii="仿宋" w:hAnsi="仿宋" w:eastAsia="仿宋" w:cs="仿宋"/>
                <w:b/>
                <w:color w:val="auto"/>
                <w:szCs w:val="21"/>
                <w:vertAlign w:val="baseline"/>
                <w:lang w:val="en-US" w:eastAsia="zh-CN"/>
              </w:rPr>
              <w:t>30</w:t>
            </w:r>
          </w:p>
        </w:tc>
        <w:tc>
          <w:tcPr>
            <w:tcW w:w="6694" w:type="dxa"/>
            <w:vAlign w:val="center"/>
          </w:tcPr>
          <w:p w14:paraId="1BC8D2E9">
            <w:pPr>
              <w:spacing w:line="40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供应商具有（至投标截止时间前36个月）本项目类似业绩的每提供一个计10分，最多计30分，未提供不计分。（注：需提供合同复印件并加盖供应商公章作为证明材料，否则本项不计分）</w:t>
            </w:r>
          </w:p>
        </w:tc>
      </w:tr>
      <w:tr w14:paraId="3B77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Merge w:val="continue"/>
            <w:vAlign w:val="center"/>
          </w:tcPr>
          <w:p w14:paraId="2DE01000">
            <w:pPr>
              <w:pStyle w:val="5"/>
              <w:jc w:val="center"/>
              <w:rPr>
                <w:rFonts w:hint="eastAsia" w:ascii="仿宋" w:hAnsi="仿宋" w:eastAsia="仿宋" w:cs="仿宋"/>
                <w:b/>
                <w:color w:val="auto"/>
                <w:szCs w:val="21"/>
                <w:vertAlign w:val="baseline"/>
                <w:lang w:val="en-US" w:eastAsia="zh-CN"/>
              </w:rPr>
            </w:pPr>
          </w:p>
        </w:tc>
        <w:tc>
          <w:tcPr>
            <w:tcW w:w="788" w:type="dxa"/>
            <w:vMerge w:val="continue"/>
          </w:tcPr>
          <w:p w14:paraId="423EA1FB">
            <w:pPr>
              <w:pStyle w:val="5"/>
              <w:rPr>
                <w:rFonts w:hint="eastAsia" w:ascii="仿宋" w:hAnsi="仿宋" w:eastAsia="仿宋" w:cs="仿宋"/>
                <w:b/>
                <w:bCs/>
                <w:color w:val="auto"/>
                <w:kern w:val="2"/>
                <w:sz w:val="21"/>
                <w:szCs w:val="21"/>
                <w:lang w:val="en-US" w:eastAsia="zh-CN" w:bidi="ar-SA"/>
              </w:rPr>
            </w:pPr>
          </w:p>
        </w:tc>
        <w:tc>
          <w:tcPr>
            <w:tcW w:w="784" w:type="dxa"/>
            <w:vAlign w:val="center"/>
          </w:tcPr>
          <w:p w14:paraId="03D155AD">
            <w:pPr>
              <w:pStyle w:val="25"/>
              <w:numPr>
                <w:ilvl w:val="0"/>
                <w:numId w:val="0"/>
              </w:num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标书制作</w:t>
            </w:r>
          </w:p>
        </w:tc>
        <w:tc>
          <w:tcPr>
            <w:tcW w:w="616" w:type="dxa"/>
            <w:vAlign w:val="center"/>
          </w:tcPr>
          <w:p w14:paraId="477AF5EB">
            <w:pPr>
              <w:pStyle w:val="25"/>
              <w:numPr>
                <w:ilvl w:val="0"/>
                <w:numId w:val="0"/>
              </w:num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b/>
                <w:color w:val="auto"/>
                <w:kern w:val="2"/>
                <w:sz w:val="21"/>
                <w:szCs w:val="21"/>
                <w:vertAlign w:val="baseline"/>
                <w:lang w:val="en-US" w:eastAsia="zh-CN" w:bidi="ar-SA"/>
              </w:rPr>
              <w:t>10</w:t>
            </w:r>
          </w:p>
        </w:tc>
        <w:tc>
          <w:tcPr>
            <w:tcW w:w="6694" w:type="dxa"/>
            <w:vAlign w:val="top"/>
          </w:tcPr>
          <w:p w14:paraId="28DC19A1">
            <w:pPr>
              <w:pStyle w:val="25"/>
              <w:numPr>
                <w:ilvl w:val="0"/>
                <w:numId w:val="0"/>
              </w:num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版面整齐，表述清晰，内容全面、准确，图文并茂，未出现格式等错误。计10分；版面欠整齐，表述欠清晰，内容欠完整、准确，缺（少）图，出现格式错误等错误。计6分</w:t>
            </w:r>
          </w:p>
        </w:tc>
      </w:tr>
    </w:tbl>
    <w:p w14:paraId="53379274">
      <w:pPr>
        <w:pStyle w:val="5"/>
        <w:rPr>
          <w:rFonts w:hint="eastAsia" w:ascii="仿宋" w:hAnsi="仿宋" w:eastAsia="仿宋" w:cs="仿宋"/>
          <w:b/>
          <w:color w:val="auto"/>
          <w:szCs w:val="21"/>
        </w:rPr>
      </w:pPr>
    </w:p>
    <w:p w14:paraId="6B3704AA">
      <w:pPr>
        <w:rPr>
          <w:rFonts w:hint="eastAsia" w:ascii="仿宋" w:hAnsi="仿宋" w:eastAsia="仿宋" w:cs="仿宋"/>
          <w:b/>
          <w:color w:val="auto"/>
          <w:szCs w:val="21"/>
        </w:rPr>
      </w:pPr>
    </w:p>
    <w:p w14:paraId="266257D8">
      <w:pPr>
        <w:pStyle w:val="25"/>
        <w:rPr>
          <w:rFonts w:hint="eastAsia" w:ascii="仿宋" w:hAnsi="仿宋" w:eastAsia="仿宋" w:cs="仿宋"/>
          <w:b/>
          <w:color w:val="auto"/>
          <w:szCs w:val="21"/>
        </w:rPr>
      </w:pPr>
    </w:p>
    <w:p w14:paraId="530528C1">
      <w:pPr>
        <w:pStyle w:val="25"/>
        <w:rPr>
          <w:rFonts w:hint="eastAsia" w:ascii="仿宋" w:hAnsi="仿宋" w:eastAsia="仿宋" w:cs="仿宋"/>
          <w:b/>
          <w:color w:val="auto"/>
          <w:szCs w:val="21"/>
        </w:rPr>
      </w:pPr>
    </w:p>
    <w:p w14:paraId="0F739EE2">
      <w:pPr>
        <w:pStyle w:val="25"/>
        <w:rPr>
          <w:rFonts w:hint="eastAsia" w:ascii="仿宋" w:hAnsi="仿宋" w:eastAsia="仿宋" w:cs="仿宋"/>
          <w:b/>
          <w:color w:val="auto"/>
          <w:szCs w:val="21"/>
        </w:rPr>
      </w:pPr>
    </w:p>
    <w:p w14:paraId="1803E265">
      <w:pPr>
        <w:pStyle w:val="25"/>
        <w:rPr>
          <w:rFonts w:hint="eastAsia" w:ascii="仿宋" w:hAnsi="仿宋" w:eastAsia="仿宋" w:cs="仿宋"/>
          <w:b/>
          <w:color w:val="auto"/>
          <w:szCs w:val="21"/>
        </w:rPr>
      </w:pPr>
    </w:p>
    <w:p w14:paraId="3A51BEEC">
      <w:pPr>
        <w:pStyle w:val="25"/>
        <w:rPr>
          <w:rFonts w:hint="eastAsia" w:ascii="仿宋" w:hAnsi="仿宋" w:eastAsia="仿宋" w:cs="仿宋"/>
          <w:b/>
          <w:color w:val="auto"/>
          <w:szCs w:val="21"/>
        </w:rPr>
      </w:pPr>
    </w:p>
    <w:p w14:paraId="494A1ED8">
      <w:pPr>
        <w:rPr>
          <w:rFonts w:hint="eastAsia" w:ascii="仿宋" w:hAnsi="仿宋" w:eastAsia="仿宋" w:cs="仿宋"/>
          <w:b/>
          <w:color w:val="auto"/>
          <w:szCs w:val="21"/>
        </w:rPr>
      </w:pPr>
    </w:p>
    <w:p w14:paraId="0F64DA59">
      <w:pPr>
        <w:pStyle w:val="25"/>
        <w:rPr>
          <w:rFonts w:hint="eastAsia" w:ascii="仿宋" w:hAnsi="仿宋" w:eastAsia="仿宋" w:cs="仿宋"/>
          <w:b/>
          <w:color w:val="auto"/>
          <w:szCs w:val="21"/>
        </w:rPr>
      </w:pPr>
    </w:p>
    <w:p w14:paraId="103BC362">
      <w:pPr>
        <w:rPr>
          <w:rFonts w:hint="eastAsia" w:ascii="仿宋" w:hAnsi="仿宋" w:eastAsia="仿宋" w:cs="仿宋"/>
          <w:b/>
          <w:color w:val="auto"/>
          <w:szCs w:val="21"/>
        </w:rPr>
      </w:pPr>
    </w:p>
    <w:p w14:paraId="69BAE6AE">
      <w:pPr>
        <w:pStyle w:val="25"/>
        <w:rPr>
          <w:rFonts w:hint="eastAsia" w:ascii="仿宋" w:hAnsi="仿宋" w:eastAsia="仿宋" w:cs="仿宋"/>
          <w:b/>
          <w:color w:val="auto"/>
          <w:szCs w:val="21"/>
        </w:rPr>
      </w:pPr>
    </w:p>
    <w:p w14:paraId="48145E37">
      <w:pPr>
        <w:rPr>
          <w:rFonts w:hint="eastAsia" w:ascii="仿宋" w:hAnsi="仿宋" w:eastAsia="仿宋" w:cs="仿宋"/>
          <w:b/>
          <w:color w:val="auto"/>
          <w:szCs w:val="21"/>
        </w:rPr>
      </w:pPr>
    </w:p>
    <w:p w14:paraId="56911785">
      <w:pPr>
        <w:pStyle w:val="25"/>
        <w:rPr>
          <w:rFonts w:hint="eastAsia" w:ascii="仿宋" w:hAnsi="仿宋" w:eastAsia="仿宋" w:cs="仿宋"/>
          <w:b/>
          <w:color w:val="auto"/>
          <w:szCs w:val="21"/>
        </w:rPr>
      </w:pPr>
    </w:p>
    <w:p w14:paraId="326A33EC">
      <w:pPr>
        <w:rPr>
          <w:rFonts w:hint="eastAsia" w:ascii="仿宋" w:hAnsi="仿宋" w:eastAsia="仿宋" w:cs="仿宋"/>
          <w:b/>
          <w:color w:val="auto"/>
          <w:szCs w:val="21"/>
        </w:rPr>
      </w:pPr>
    </w:p>
    <w:p w14:paraId="6C087C88">
      <w:pPr>
        <w:pStyle w:val="25"/>
        <w:rPr>
          <w:rFonts w:hint="eastAsia" w:ascii="仿宋" w:hAnsi="仿宋" w:eastAsia="仿宋" w:cs="仿宋"/>
          <w:b/>
          <w:color w:val="auto"/>
          <w:szCs w:val="21"/>
        </w:rPr>
      </w:pPr>
    </w:p>
    <w:p w14:paraId="19024794">
      <w:pPr>
        <w:rPr>
          <w:rFonts w:hint="eastAsia"/>
        </w:rPr>
      </w:pPr>
    </w:p>
    <w:p w14:paraId="0192B85D">
      <w:pPr>
        <w:pStyle w:val="25"/>
        <w:rPr>
          <w:rFonts w:hint="eastAsia" w:ascii="仿宋" w:hAnsi="仿宋" w:eastAsia="仿宋" w:cs="仿宋"/>
          <w:b/>
          <w:color w:val="auto"/>
          <w:szCs w:val="21"/>
        </w:rPr>
      </w:pPr>
    </w:p>
    <w:p w14:paraId="402FE8E3">
      <w:pPr>
        <w:rPr>
          <w:rFonts w:hint="eastAsia" w:ascii="仿宋" w:hAnsi="仿宋" w:eastAsia="仿宋" w:cs="仿宋"/>
          <w:b/>
          <w:color w:val="auto"/>
          <w:szCs w:val="21"/>
        </w:rPr>
      </w:pPr>
    </w:p>
    <w:p w14:paraId="5F098FA1">
      <w:pPr>
        <w:pStyle w:val="25"/>
        <w:rPr>
          <w:rFonts w:hint="eastAsia" w:ascii="仿宋" w:hAnsi="仿宋" w:eastAsia="仿宋" w:cs="仿宋"/>
          <w:b/>
          <w:color w:val="auto"/>
          <w:szCs w:val="21"/>
        </w:rPr>
      </w:pPr>
    </w:p>
    <w:p w14:paraId="3C9C7737">
      <w:pPr>
        <w:rPr>
          <w:rFonts w:hint="eastAsia" w:ascii="仿宋" w:hAnsi="仿宋" w:eastAsia="仿宋" w:cs="仿宋"/>
          <w:b/>
          <w:color w:val="auto"/>
          <w:szCs w:val="21"/>
        </w:rPr>
      </w:pPr>
    </w:p>
    <w:p w14:paraId="750944BC">
      <w:pPr>
        <w:pStyle w:val="25"/>
        <w:rPr>
          <w:rFonts w:hint="eastAsia" w:ascii="仿宋" w:hAnsi="仿宋" w:eastAsia="仿宋" w:cs="仿宋"/>
          <w:b/>
          <w:color w:val="auto"/>
          <w:szCs w:val="21"/>
        </w:rPr>
      </w:pPr>
    </w:p>
    <w:p w14:paraId="6F074E88">
      <w:pPr>
        <w:rPr>
          <w:rFonts w:hint="eastAsia" w:ascii="仿宋" w:hAnsi="仿宋" w:eastAsia="仿宋" w:cs="仿宋"/>
          <w:b/>
          <w:color w:val="auto"/>
          <w:szCs w:val="21"/>
        </w:rPr>
      </w:pPr>
    </w:p>
    <w:p w14:paraId="28334764">
      <w:pPr>
        <w:pStyle w:val="25"/>
        <w:rPr>
          <w:rFonts w:hint="eastAsia" w:ascii="仿宋" w:hAnsi="仿宋" w:eastAsia="仿宋" w:cs="仿宋"/>
          <w:b/>
          <w:color w:val="auto"/>
          <w:szCs w:val="21"/>
        </w:rPr>
      </w:pPr>
    </w:p>
    <w:p w14:paraId="1F223208">
      <w:pPr>
        <w:rPr>
          <w:rFonts w:hint="eastAsia" w:ascii="仿宋" w:hAnsi="仿宋" w:eastAsia="仿宋" w:cs="仿宋"/>
          <w:b/>
          <w:color w:val="auto"/>
          <w:szCs w:val="21"/>
        </w:rPr>
      </w:pPr>
    </w:p>
    <w:p w14:paraId="18E69CB9">
      <w:pPr>
        <w:pStyle w:val="25"/>
        <w:rPr>
          <w:rFonts w:hint="eastAsia"/>
        </w:rPr>
      </w:pPr>
    </w:p>
    <w:p w14:paraId="6800844A">
      <w:pPr>
        <w:rPr>
          <w:rFonts w:hint="eastAsia" w:ascii="仿宋" w:hAnsi="仿宋" w:eastAsia="仿宋" w:cs="仿宋"/>
          <w:color w:val="auto"/>
        </w:rPr>
      </w:pPr>
    </w:p>
    <w:p w14:paraId="36983FA4">
      <w:pPr>
        <w:rPr>
          <w:rFonts w:hint="eastAsia" w:ascii="仿宋" w:hAnsi="仿宋" w:eastAsia="仿宋" w:cs="仿宋"/>
          <w:color w:val="auto"/>
        </w:rPr>
      </w:pPr>
    </w:p>
    <w:p w14:paraId="0F870717">
      <w:pPr>
        <w:rPr>
          <w:rFonts w:hint="eastAsia" w:ascii="仿宋" w:hAnsi="仿宋" w:eastAsia="仿宋" w:cs="仿宋"/>
          <w:color w:val="auto"/>
        </w:rPr>
      </w:pPr>
    </w:p>
    <w:p w14:paraId="0E83FEB1">
      <w:pPr>
        <w:rPr>
          <w:rFonts w:hint="eastAsia" w:ascii="仿宋" w:hAnsi="仿宋" w:eastAsia="仿宋" w:cs="仿宋"/>
          <w:color w:val="auto"/>
        </w:rPr>
      </w:pPr>
    </w:p>
    <w:p w14:paraId="5CFA4502">
      <w:pPr>
        <w:rPr>
          <w:rFonts w:hint="eastAsia" w:ascii="仿宋" w:hAnsi="仿宋" w:eastAsia="仿宋" w:cs="仿宋"/>
          <w:color w:val="auto"/>
        </w:rPr>
      </w:pPr>
    </w:p>
    <w:p w14:paraId="338E9783">
      <w:pPr>
        <w:pStyle w:val="11"/>
        <w:rPr>
          <w:rFonts w:hint="eastAsia" w:ascii="仿宋" w:hAnsi="仿宋" w:eastAsia="仿宋" w:cs="仿宋"/>
          <w:color w:val="auto"/>
          <w:szCs w:val="21"/>
        </w:rPr>
      </w:pPr>
    </w:p>
    <w:p w14:paraId="0CC535C3">
      <w:pPr>
        <w:pStyle w:val="4"/>
        <w:rPr>
          <w:rFonts w:hint="eastAsia" w:ascii="仿宋" w:hAnsi="仿宋" w:eastAsia="仿宋" w:cs="仿宋"/>
          <w:color w:val="auto"/>
          <w:sz w:val="28"/>
          <w:szCs w:val="28"/>
        </w:rPr>
      </w:pPr>
      <w:bookmarkStart w:id="84" w:name="_Toc28719"/>
      <w:bookmarkStart w:id="85" w:name="_Toc23885"/>
      <w:bookmarkStart w:id="86" w:name="_Toc6261"/>
      <w:r>
        <w:rPr>
          <w:rFonts w:hint="eastAsia" w:ascii="仿宋" w:hAnsi="仿宋" w:eastAsia="仿宋" w:cs="仿宋"/>
          <w:color w:val="auto"/>
          <w:sz w:val="28"/>
          <w:szCs w:val="28"/>
        </w:rPr>
        <w:t>附页2资格性审查表</w:t>
      </w:r>
      <w:bookmarkEnd w:id="84"/>
      <w:bookmarkEnd w:id="85"/>
      <w:bookmarkEnd w:id="86"/>
    </w:p>
    <w:p w14:paraId="4147411D">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资格性审查表</w:t>
      </w:r>
    </w:p>
    <w:p w14:paraId="4F05335E">
      <w:pPr>
        <w:adjustRightInd w:val="0"/>
        <w:snapToGrid w:val="0"/>
        <w:spacing w:before="156" w:beforeLines="50" w:line="360" w:lineRule="auto"/>
        <w:rPr>
          <w:rFonts w:hint="eastAsia" w:ascii="仿宋" w:hAnsi="仿宋" w:eastAsia="仿宋" w:cs="仿宋"/>
          <w:color w:val="auto"/>
        </w:rPr>
      </w:pPr>
      <w:r>
        <w:rPr>
          <w:rFonts w:hint="eastAsia" w:ascii="仿宋" w:hAnsi="仿宋" w:eastAsia="仿宋" w:cs="仿宋"/>
          <w:color w:val="auto"/>
          <w:szCs w:val="21"/>
          <w:lang w:val="en-US" w:eastAsia="zh-CN"/>
        </w:rPr>
        <w:t>采购</w:t>
      </w:r>
      <w:r>
        <w:rPr>
          <w:rFonts w:hint="eastAsia" w:ascii="仿宋" w:hAnsi="仿宋" w:eastAsia="仿宋" w:cs="仿宋"/>
          <w:color w:val="auto"/>
          <w:szCs w:val="21"/>
        </w:rPr>
        <w:t xml:space="preserve">项目名称：                                           采购代理编号： </w:t>
      </w:r>
    </w:p>
    <w:tbl>
      <w:tblPr>
        <w:tblStyle w:val="26"/>
        <w:tblW w:w="92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1"/>
        <w:gridCol w:w="5194"/>
        <w:gridCol w:w="1078"/>
        <w:gridCol w:w="1078"/>
        <w:gridCol w:w="1080"/>
      </w:tblGrid>
      <w:tr w14:paraId="01B81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81" w:type="dxa"/>
            <w:vAlign w:val="center"/>
          </w:tcPr>
          <w:p w14:paraId="237D7764">
            <w:pPr>
              <w:adjustRightInd w:val="0"/>
              <w:snapToGrid w:val="0"/>
              <w:spacing w:before="156" w:beforeLines="50" w:line="360" w:lineRule="auto"/>
              <w:jc w:val="center"/>
              <w:rPr>
                <w:rFonts w:hint="eastAsia" w:ascii="仿宋" w:hAnsi="仿宋" w:eastAsia="仿宋" w:cs="仿宋"/>
                <w:b/>
                <w:color w:val="auto"/>
                <w:kern w:val="0"/>
                <w:szCs w:val="21"/>
              </w:rPr>
            </w:pPr>
            <w:r>
              <w:rPr>
                <w:rFonts w:hint="eastAsia" w:ascii="仿宋" w:hAnsi="仿宋" w:eastAsia="仿宋" w:cs="仿宋"/>
                <w:b/>
                <w:color w:val="auto"/>
                <w:kern w:val="0"/>
                <w:szCs w:val="21"/>
              </w:rPr>
              <w:t>序号</w:t>
            </w:r>
          </w:p>
        </w:tc>
        <w:tc>
          <w:tcPr>
            <w:tcW w:w="5194" w:type="dxa"/>
            <w:vAlign w:val="center"/>
          </w:tcPr>
          <w:p w14:paraId="56613BDB">
            <w:pPr>
              <w:adjustRightInd w:val="0"/>
              <w:snapToGrid w:val="0"/>
              <w:spacing w:before="156" w:beforeLines="50" w:line="360" w:lineRule="auto"/>
              <w:jc w:val="center"/>
              <w:rPr>
                <w:rFonts w:hint="eastAsia" w:ascii="仿宋" w:hAnsi="仿宋" w:eastAsia="仿宋" w:cs="仿宋"/>
                <w:b/>
                <w:color w:val="auto"/>
                <w:kern w:val="0"/>
                <w:szCs w:val="21"/>
              </w:rPr>
            </w:pPr>
            <w:r>
              <w:rPr>
                <w:rFonts w:hint="eastAsia" w:ascii="仿宋" w:hAnsi="仿宋" w:eastAsia="仿宋" w:cs="仿宋"/>
                <w:b/>
                <w:color w:val="auto"/>
                <w:kern w:val="0"/>
                <w:szCs w:val="21"/>
              </w:rPr>
              <w:t>审查项目</w:t>
            </w:r>
          </w:p>
        </w:tc>
        <w:tc>
          <w:tcPr>
            <w:tcW w:w="3236" w:type="dxa"/>
            <w:gridSpan w:val="3"/>
            <w:vAlign w:val="center"/>
          </w:tcPr>
          <w:p w14:paraId="655DCCE9">
            <w:pPr>
              <w:adjustRightInd w:val="0"/>
              <w:snapToGrid w:val="0"/>
              <w:spacing w:before="156" w:beforeLines="50" w:line="360" w:lineRule="auto"/>
              <w:jc w:val="center"/>
              <w:rPr>
                <w:rFonts w:hint="eastAsia" w:ascii="仿宋" w:hAnsi="仿宋" w:eastAsia="仿宋" w:cs="仿宋"/>
                <w:b/>
                <w:color w:val="auto"/>
                <w:kern w:val="0"/>
                <w:szCs w:val="21"/>
              </w:rPr>
            </w:pPr>
            <w:r>
              <w:rPr>
                <w:rFonts w:hint="eastAsia" w:ascii="仿宋" w:hAnsi="仿宋" w:eastAsia="仿宋" w:cs="仿宋"/>
                <w:b/>
                <w:color w:val="auto"/>
                <w:kern w:val="0"/>
                <w:szCs w:val="21"/>
              </w:rPr>
              <w:t>供应商名称及评审情况</w:t>
            </w:r>
          </w:p>
        </w:tc>
      </w:tr>
      <w:tr w14:paraId="321C8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1" w:type="dxa"/>
            <w:vAlign w:val="center"/>
          </w:tcPr>
          <w:p w14:paraId="42C20773">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5194" w:type="dxa"/>
            <w:vAlign w:val="center"/>
          </w:tcPr>
          <w:p w14:paraId="58D7832B">
            <w:pPr>
              <w:spacing w:line="360" w:lineRule="exact"/>
              <w:jc w:val="left"/>
              <w:rPr>
                <w:rFonts w:hint="eastAsia" w:ascii="仿宋" w:hAnsi="仿宋" w:eastAsia="仿宋" w:cs="仿宋"/>
                <w:color w:val="auto"/>
                <w:szCs w:val="21"/>
              </w:rPr>
            </w:pPr>
            <w:r>
              <w:rPr>
                <w:rFonts w:hint="eastAsia" w:ascii="仿宋" w:hAnsi="仿宋" w:eastAsia="仿宋" w:cs="仿宋"/>
                <w:color w:val="auto"/>
              </w:rPr>
              <w:t>法人或者其他组织的营业执照等主体资格证明文件，自然人的身份证明</w:t>
            </w:r>
            <w:r>
              <w:rPr>
                <w:rFonts w:hint="eastAsia" w:ascii="仿宋" w:hAnsi="仿宋" w:eastAsia="仿宋" w:cs="仿宋"/>
                <w:color w:val="auto"/>
                <w:szCs w:val="21"/>
              </w:rPr>
              <w:t>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w:t>
            </w:r>
          </w:p>
        </w:tc>
        <w:tc>
          <w:tcPr>
            <w:tcW w:w="1078" w:type="dxa"/>
            <w:vAlign w:val="center"/>
          </w:tcPr>
          <w:p w14:paraId="34B5EE5C">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63169BB9">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04B3F4E0">
            <w:pPr>
              <w:adjustRightInd w:val="0"/>
              <w:snapToGrid w:val="0"/>
              <w:spacing w:before="156" w:beforeLines="50" w:line="360" w:lineRule="auto"/>
              <w:rPr>
                <w:rFonts w:hint="eastAsia" w:ascii="仿宋" w:hAnsi="仿宋" w:eastAsia="仿宋" w:cs="仿宋"/>
                <w:color w:val="auto"/>
                <w:kern w:val="0"/>
                <w:szCs w:val="21"/>
              </w:rPr>
            </w:pPr>
          </w:p>
        </w:tc>
      </w:tr>
      <w:tr w14:paraId="0D8D0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1" w:type="dxa"/>
            <w:vAlign w:val="center"/>
          </w:tcPr>
          <w:p w14:paraId="05678E35">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5194" w:type="dxa"/>
            <w:vAlign w:val="center"/>
          </w:tcPr>
          <w:p w14:paraId="20D0175E">
            <w:pPr>
              <w:spacing w:line="360" w:lineRule="exact"/>
              <w:jc w:val="left"/>
              <w:rPr>
                <w:rFonts w:hint="eastAsia" w:ascii="仿宋" w:hAnsi="仿宋" w:eastAsia="仿宋" w:cs="仿宋"/>
                <w:color w:val="auto"/>
              </w:rPr>
            </w:pPr>
            <w:r>
              <w:rPr>
                <w:rFonts w:hint="eastAsia" w:ascii="仿宋" w:hAnsi="仿宋" w:eastAsia="仿宋" w:cs="仿宋"/>
                <w:color w:val="auto"/>
              </w:rPr>
              <w:t>湖南省</w:t>
            </w:r>
            <w:r>
              <w:rPr>
                <w:rFonts w:hint="eastAsia" w:ascii="仿宋" w:hAnsi="仿宋" w:eastAsia="仿宋" w:cs="仿宋"/>
                <w:color w:val="auto"/>
                <w:lang w:val="en-US" w:eastAsia="zh-CN"/>
              </w:rPr>
              <w:t>政府</w:t>
            </w:r>
            <w:r>
              <w:rPr>
                <w:rFonts w:hint="eastAsia" w:ascii="仿宋" w:hAnsi="仿宋" w:eastAsia="仿宋" w:cs="仿宋"/>
                <w:color w:val="auto"/>
                <w:lang w:eastAsia="zh-CN"/>
              </w:rPr>
              <w:t>采购</w:t>
            </w:r>
            <w:r>
              <w:rPr>
                <w:rFonts w:hint="eastAsia" w:ascii="仿宋" w:hAnsi="仿宋" w:eastAsia="仿宋" w:cs="仿宋"/>
                <w:color w:val="auto"/>
              </w:rPr>
              <w:t>供应商资格承诺函</w:t>
            </w:r>
            <w:r>
              <w:rPr>
                <w:rFonts w:hint="eastAsia" w:ascii="仿宋" w:hAnsi="仿宋" w:eastAsia="仿宋" w:cs="仿宋"/>
                <w:color w:val="auto"/>
                <w:szCs w:val="21"/>
              </w:rPr>
              <w:t>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w:t>
            </w:r>
          </w:p>
        </w:tc>
        <w:tc>
          <w:tcPr>
            <w:tcW w:w="1078" w:type="dxa"/>
            <w:vAlign w:val="center"/>
          </w:tcPr>
          <w:p w14:paraId="33131453">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3588C16C">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61174953">
            <w:pPr>
              <w:adjustRightInd w:val="0"/>
              <w:snapToGrid w:val="0"/>
              <w:spacing w:before="156" w:beforeLines="50" w:line="360" w:lineRule="auto"/>
              <w:rPr>
                <w:rFonts w:hint="eastAsia" w:ascii="仿宋" w:hAnsi="仿宋" w:eastAsia="仿宋" w:cs="仿宋"/>
                <w:color w:val="auto"/>
                <w:kern w:val="0"/>
                <w:szCs w:val="21"/>
              </w:rPr>
            </w:pPr>
          </w:p>
        </w:tc>
      </w:tr>
      <w:tr w14:paraId="2784D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1" w:type="dxa"/>
            <w:vAlign w:val="center"/>
          </w:tcPr>
          <w:p w14:paraId="71EDB679">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5194" w:type="dxa"/>
            <w:vAlign w:val="center"/>
          </w:tcPr>
          <w:p w14:paraId="347E1AAA">
            <w:pPr>
              <w:spacing w:line="360" w:lineRule="exact"/>
              <w:jc w:val="left"/>
              <w:rPr>
                <w:rFonts w:hint="eastAsia" w:ascii="仿宋" w:hAnsi="仿宋" w:eastAsia="仿宋" w:cs="仿宋"/>
                <w:color w:val="auto"/>
                <w:szCs w:val="21"/>
              </w:rPr>
            </w:pPr>
            <w:r>
              <w:rPr>
                <w:rFonts w:hint="eastAsia" w:ascii="仿宋" w:hAnsi="仿宋" w:eastAsia="仿宋" w:cs="仿宋"/>
                <w:color w:val="auto"/>
              </w:rPr>
              <w:t>法定代表人身份证明或法定代表人身份证明及法定代表人授权书</w:t>
            </w:r>
            <w:r>
              <w:rPr>
                <w:rFonts w:hint="eastAsia" w:ascii="仿宋" w:hAnsi="仿宋" w:eastAsia="仿宋" w:cs="仿宋"/>
                <w:color w:val="auto"/>
                <w:szCs w:val="21"/>
              </w:rPr>
              <w:t>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w:t>
            </w:r>
          </w:p>
        </w:tc>
        <w:tc>
          <w:tcPr>
            <w:tcW w:w="1078" w:type="dxa"/>
            <w:vAlign w:val="center"/>
          </w:tcPr>
          <w:p w14:paraId="3852216B">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060777A5">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77B1742E">
            <w:pPr>
              <w:adjustRightInd w:val="0"/>
              <w:snapToGrid w:val="0"/>
              <w:spacing w:before="156" w:beforeLines="50" w:line="360" w:lineRule="auto"/>
              <w:rPr>
                <w:rFonts w:hint="eastAsia" w:ascii="仿宋" w:hAnsi="仿宋" w:eastAsia="仿宋" w:cs="仿宋"/>
                <w:color w:val="auto"/>
                <w:kern w:val="0"/>
                <w:szCs w:val="21"/>
              </w:rPr>
            </w:pPr>
          </w:p>
        </w:tc>
      </w:tr>
      <w:tr w14:paraId="2D2035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1" w:type="dxa"/>
            <w:vAlign w:val="center"/>
          </w:tcPr>
          <w:p w14:paraId="4D9BE605">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5194" w:type="dxa"/>
            <w:vAlign w:val="center"/>
          </w:tcPr>
          <w:p w14:paraId="0D88DC74">
            <w:pPr>
              <w:spacing w:line="360" w:lineRule="exact"/>
              <w:jc w:val="left"/>
              <w:rPr>
                <w:rFonts w:hint="eastAsia" w:ascii="仿宋" w:hAnsi="仿宋" w:eastAsia="仿宋" w:cs="仿宋"/>
                <w:color w:val="auto"/>
                <w:szCs w:val="21"/>
              </w:rPr>
            </w:pPr>
            <w:r>
              <w:rPr>
                <w:rFonts w:hint="eastAsia" w:ascii="仿宋" w:hAnsi="仿宋" w:eastAsia="仿宋" w:cs="仿宋"/>
                <w:color w:val="auto"/>
              </w:rPr>
              <w:t>无不良信用记录</w:t>
            </w:r>
          </w:p>
        </w:tc>
        <w:tc>
          <w:tcPr>
            <w:tcW w:w="1078" w:type="dxa"/>
            <w:vAlign w:val="center"/>
          </w:tcPr>
          <w:p w14:paraId="46E67F31">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4B11A339">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3137FE92">
            <w:pPr>
              <w:adjustRightInd w:val="0"/>
              <w:snapToGrid w:val="0"/>
              <w:spacing w:before="156" w:beforeLines="50" w:line="360" w:lineRule="auto"/>
              <w:rPr>
                <w:rFonts w:hint="eastAsia" w:ascii="仿宋" w:hAnsi="仿宋" w:eastAsia="仿宋" w:cs="仿宋"/>
                <w:color w:val="auto"/>
                <w:kern w:val="0"/>
                <w:szCs w:val="21"/>
              </w:rPr>
            </w:pPr>
          </w:p>
        </w:tc>
      </w:tr>
      <w:tr w14:paraId="7268E8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1" w:type="dxa"/>
            <w:vAlign w:val="center"/>
          </w:tcPr>
          <w:p w14:paraId="05FC54D3">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5194" w:type="dxa"/>
            <w:vAlign w:val="center"/>
          </w:tcPr>
          <w:p w14:paraId="57808787">
            <w:pPr>
              <w:spacing w:line="360" w:lineRule="exact"/>
              <w:jc w:val="left"/>
              <w:rPr>
                <w:rFonts w:hint="eastAsia" w:ascii="仿宋" w:hAnsi="仿宋" w:eastAsia="仿宋" w:cs="仿宋"/>
                <w:color w:val="auto"/>
                <w:szCs w:val="21"/>
              </w:rPr>
            </w:pPr>
            <w:r>
              <w:rPr>
                <w:rFonts w:hint="eastAsia" w:ascii="仿宋" w:hAnsi="仿宋" w:eastAsia="仿宋" w:cs="仿宋"/>
                <w:color w:val="auto"/>
              </w:rPr>
              <w:t>响应文件的签署、盖章</w:t>
            </w:r>
            <w:r>
              <w:rPr>
                <w:rFonts w:hint="eastAsia" w:ascii="仿宋" w:hAnsi="仿宋" w:eastAsia="仿宋" w:cs="仿宋"/>
                <w:color w:val="auto"/>
                <w:szCs w:val="21"/>
              </w:rPr>
              <w:t>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w:t>
            </w:r>
          </w:p>
        </w:tc>
        <w:tc>
          <w:tcPr>
            <w:tcW w:w="1078" w:type="dxa"/>
            <w:vAlign w:val="center"/>
          </w:tcPr>
          <w:p w14:paraId="1B34999F">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00011A61">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1D55946A">
            <w:pPr>
              <w:adjustRightInd w:val="0"/>
              <w:snapToGrid w:val="0"/>
              <w:spacing w:before="156" w:beforeLines="50" w:line="360" w:lineRule="auto"/>
              <w:rPr>
                <w:rFonts w:hint="eastAsia" w:ascii="仿宋" w:hAnsi="仿宋" w:eastAsia="仿宋" w:cs="仿宋"/>
                <w:color w:val="auto"/>
                <w:kern w:val="0"/>
                <w:szCs w:val="21"/>
              </w:rPr>
            </w:pPr>
          </w:p>
        </w:tc>
      </w:tr>
      <w:tr w14:paraId="5E9F9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81" w:type="dxa"/>
            <w:vAlign w:val="center"/>
          </w:tcPr>
          <w:p w14:paraId="66254DF3">
            <w:pPr>
              <w:adjustRightInd w:val="0"/>
              <w:snapToGrid w:val="0"/>
              <w:spacing w:before="156" w:beforeLines="50" w:line="360" w:lineRule="auto"/>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6</w:t>
            </w:r>
          </w:p>
        </w:tc>
        <w:tc>
          <w:tcPr>
            <w:tcW w:w="5194" w:type="dxa"/>
            <w:vAlign w:val="center"/>
          </w:tcPr>
          <w:p w14:paraId="6C30C3AB">
            <w:pPr>
              <w:spacing w:line="360" w:lineRule="exact"/>
              <w:jc w:val="left"/>
              <w:rPr>
                <w:rFonts w:hint="eastAsia" w:ascii="仿宋" w:hAnsi="仿宋" w:eastAsia="仿宋" w:cs="仿宋"/>
                <w:color w:val="auto"/>
                <w:lang w:eastAsia="zh-CN"/>
              </w:rPr>
            </w:pPr>
            <w:r>
              <w:rPr>
                <w:rFonts w:hint="eastAsia" w:ascii="仿宋" w:hAnsi="仿宋" w:eastAsia="仿宋" w:cs="仿宋"/>
                <w:color w:val="auto"/>
                <w:lang w:eastAsia="zh-CN"/>
              </w:rPr>
              <w:t>特定资格条件</w:t>
            </w:r>
          </w:p>
        </w:tc>
        <w:tc>
          <w:tcPr>
            <w:tcW w:w="1078" w:type="dxa"/>
            <w:vAlign w:val="center"/>
          </w:tcPr>
          <w:p w14:paraId="6CED2B99">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22FD95CB">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50CA0E35">
            <w:pPr>
              <w:adjustRightInd w:val="0"/>
              <w:snapToGrid w:val="0"/>
              <w:spacing w:before="156" w:beforeLines="50" w:line="360" w:lineRule="auto"/>
              <w:rPr>
                <w:rFonts w:hint="eastAsia" w:ascii="仿宋" w:hAnsi="仿宋" w:eastAsia="仿宋" w:cs="仿宋"/>
                <w:color w:val="auto"/>
                <w:kern w:val="0"/>
                <w:szCs w:val="21"/>
              </w:rPr>
            </w:pPr>
          </w:p>
        </w:tc>
      </w:tr>
      <w:tr w14:paraId="2EA882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75" w:type="dxa"/>
            <w:gridSpan w:val="2"/>
            <w:vAlign w:val="center"/>
          </w:tcPr>
          <w:p w14:paraId="67173703">
            <w:pPr>
              <w:adjustRightInd w:val="0"/>
              <w:snapToGrid w:val="0"/>
              <w:spacing w:before="156" w:beforeLines="50" w:line="360" w:lineRule="auto"/>
              <w:jc w:val="center"/>
              <w:rPr>
                <w:rFonts w:hint="eastAsia" w:ascii="仿宋" w:hAnsi="仿宋" w:eastAsia="仿宋" w:cs="仿宋"/>
                <w:color w:val="auto"/>
                <w:kern w:val="0"/>
                <w:sz w:val="20"/>
                <w:szCs w:val="21"/>
              </w:rPr>
            </w:pPr>
            <w:r>
              <w:rPr>
                <w:rFonts w:hint="eastAsia" w:ascii="仿宋" w:hAnsi="仿宋" w:eastAsia="仿宋" w:cs="仿宋"/>
                <w:color w:val="auto"/>
                <w:kern w:val="0"/>
                <w:szCs w:val="21"/>
              </w:rPr>
              <w:t>审查结论</w:t>
            </w:r>
          </w:p>
        </w:tc>
        <w:tc>
          <w:tcPr>
            <w:tcW w:w="1078" w:type="dxa"/>
            <w:vAlign w:val="center"/>
          </w:tcPr>
          <w:p w14:paraId="68D7B0D1">
            <w:pPr>
              <w:adjustRightInd w:val="0"/>
              <w:snapToGrid w:val="0"/>
              <w:spacing w:before="156" w:beforeLines="50" w:line="360" w:lineRule="auto"/>
              <w:rPr>
                <w:rFonts w:hint="eastAsia" w:ascii="仿宋" w:hAnsi="仿宋" w:eastAsia="仿宋" w:cs="仿宋"/>
                <w:color w:val="auto"/>
                <w:kern w:val="0"/>
                <w:sz w:val="20"/>
                <w:szCs w:val="21"/>
              </w:rPr>
            </w:pPr>
          </w:p>
        </w:tc>
        <w:tc>
          <w:tcPr>
            <w:tcW w:w="1078" w:type="dxa"/>
            <w:vAlign w:val="center"/>
          </w:tcPr>
          <w:p w14:paraId="4EAD8EF7">
            <w:pPr>
              <w:adjustRightInd w:val="0"/>
              <w:snapToGrid w:val="0"/>
              <w:spacing w:before="156" w:beforeLines="50" w:line="360" w:lineRule="auto"/>
              <w:rPr>
                <w:rFonts w:hint="eastAsia" w:ascii="仿宋" w:hAnsi="仿宋" w:eastAsia="仿宋" w:cs="仿宋"/>
                <w:color w:val="auto"/>
                <w:kern w:val="0"/>
                <w:sz w:val="20"/>
                <w:szCs w:val="21"/>
              </w:rPr>
            </w:pPr>
          </w:p>
        </w:tc>
        <w:tc>
          <w:tcPr>
            <w:tcW w:w="1080" w:type="dxa"/>
            <w:vAlign w:val="center"/>
          </w:tcPr>
          <w:p w14:paraId="16250C04">
            <w:pPr>
              <w:adjustRightInd w:val="0"/>
              <w:snapToGrid w:val="0"/>
              <w:spacing w:before="156" w:beforeLines="50" w:line="360" w:lineRule="auto"/>
              <w:rPr>
                <w:rFonts w:hint="eastAsia" w:ascii="仿宋" w:hAnsi="仿宋" w:eastAsia="仿宋" w:cs="仿宋"/>
                <w:color w:val="auto"/>
                <w:kern w:val="0"/>
                <w:sz w:val="20"/>
                <w:szCs w:val="21"/>
              </w:rPr>
            </w:pPr>
          </w:p>
        </w:tc>
      </w:tr>
      <w:tr w14:paraId="2B4629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11" w:type="dxa"/>
            <w:gridSpan w:val="5"/>
            <w:vAlign w:val="center"/>
          </w:tcPr>
          <w:p w14:paraId="7D6C717D">
            <w:pPr>
              <w:adjustRightInd w:val="0"/>
              <w:snapToGrid w:val="0"/>
              <w:spacing w:before="156" w:beforeLines="50" w:line="360" w:lineRule="auto"/>
              <w:rPr>
                <w:rFonts w:hint="eastAsia" w:ascii="仿宋" w:hAnsi="仿宋" w:eastAsia="仿宋" w:cs="仿宋"/>
                <w:color w:val="auto"/>
                <w:kern w:val="0"/>
                <w:sz w:val="20"/>
                <w:szCs w:val="21"/>
              </w:rPr>
            </w:pPr>
            <w:r>
              <w:rPr>
                <w:rFonts w:hint="eastAsia" w:ascii="仿宋" w:hAnsi="仿宋" w:eastAsia="仿宋" w:cs="仿宋"/>
                <w:color w:val="auto"/>
                <w:szCs w:val="21"/>
              </w:rPr>
              <w:t>备注：</w:t>
            </w:r>
          </w:p>
        </w:tc>
      </w:tr>
    </w:tbl>
    <w:p w14:paraId="22D90AB5">
      <w:pPr>
        <w:spacing w:before="156" w:beforeLines="50" w:line="360" w:lineRule="auto"/>
        <w:rPr>
          <w:rFonts w:hint="eastAsia" w:ascii="仿宋" w:hAnsi="仿宋" w:eastAsia="仿宋" w:cs="仿宋"/>
          <w:color w:val="auto"/>
          <w:szCs w:val="21"/>
        </w:rPr>
      </w:pPr>
      <w:r>
        <w:rPr>
          <w:rFonts w:hint="eastAsia" w:ascii="仿宋" w:hAnsi="仿宋" w:eastAsia="仿宋" w:cs="仿宋"/>
          <w:color w:val="auto"/>
          <w:szCs w:val="21"/>
          <w:lang w:eastAsia="zh-CN"/>
        </w:rPr>
        <w:t>评审小组</w:t>
      </w:r>
      <w:r>
        <w:rPr>
          <w:rFonts w:hint="eastAsia" w:ascii="仿宋" w:hAnsi="仿宋" w:eastAsia="仿宋" w:cs="仿宋"/>
          <w:color w:val="auto"/>
          <w:szCs w:val="21"/>
        </w:rPr>
        <w:t>成员签字：                                          202</w:t>
      </w:r>
      <w:r>
        <w:rPr>
          <w:rFonts w:hint="eastAsia" w:ascii="仿宋" w:hAnsi="仿宋" w:eastAsia="仿宋" w:cs="仿宋"/>
          <w:color w:val="auto"/>
          <w:szCs w:val="21"/>
          <w:lang w:val="en-US" w:eastAsia="zh-CN"/>
        </w:rPr>
        <w:t>5</w:t>
      </w:r>
      <w:r>
        <w:rPr>
          <w:rFonts w:hint="eastAsia" w:ascii="仿宋" w:hAnsi="仿宋" w:eastAsia="仿宋" w:cs="仿宋"/>
          <w:color w:val="auto"/>
          <w:szCs w:val="21"/>
        </w:rPr>
        <w:t>年   月   日</w:t>
      </w:r>
    </w:p>
    <w:p w14:paraId="48D80436">
      <w:pPr>
        <w:rPr>
          <w:rFonts w:hint="eastAsia" w:ascii="仿宋" w:hAnsi="仿宋" w:eastAsia="仿宋" w:cs="仿宋"/>
          <w:b/>
          <w:color w:val="auto"/>
          <w:szCs w:val="21"/>
        </w:rPr>
      </w:pPr>
    </w:p>
    <w:p w14:paraId="1D672FBE">
      <w:pPr>
        <w:spacing w:line="360" w:lineRule="auto"/>
        <w:rPr>
          <w:rFonts w:hint="eastAsia" w:ascii="仿宋" w:hAnsi="仿宋" w:eastAsia="仿宋" w:cs="仿宋"/>
          <w:color w:val="auto"/>
          <w:szCs w:val="21"/>
        </w:rPr>
      </w:pPr>
      <w:r>
        <w:rPr>
          <w:rFonts w:hint="eastAsia" w:ascii="仿宋" w:hAnsi="仿宋" w:eastAsia="仿宋" w:cs="仿宋"/>
          <w:b/>
          <w:color w:val="auto"/>
          <w:szCs w:val="21"/>
        </w:rPr>
        <w:t>备注：</w:t>
      </w:r>
      <w:r>
        <w:rPr>
          <w:rFonts w:hint="eastAsia" w:ascii="仿宋" w:hAnsi="仿宋" w:eastAsia="仿宋" w:cs="仿宋"/>
          <w:color w:val="auto"/>
          <w:szCs w:val="21"/>
        </w:rPr>
        <w:t>1、上述表中审查情况合格打“√”，不合格打“×”，不合格原因应在备注栏内详细说明。</w:t>
      </w:r>
    </w:p>
    <w:p w14:paraId="3FCFFD8A">
      <w:pPr>
        <w:spacing w:line="360" w:lineRule="auto"/>
        <w:ind w:firstLine="630" w:firstLineChars="300"/>
        <w:rPr>
          <w:rFonts w:hint="eastAsia" w:ascii="仿宋" w:hAnsi="仿宋" w:eastAsia="仿宋" w:cs="仿宋"/>
          <w:color w:val="auto"/>
          <w:szCs w:val="21"/>
        </w:rPr>
      </w:pPr>
      <w:r>
        <w:rPr>
          <w:rFonts w:hint="eastAsia" w:ascii="仿宋" w:hAnsi="仿宋" w:eastAsia="仿宋" w:cs="仿宋"/>
          <w:color w:val="auto"/>
          <w:szCs w:val="21"/>
        </w:rPr>
        <w:t>2、在结论栏中填写“合格”或“不合格”。</w:t>
      </w:r>
    </w:p>
    <w:p w14:paraId="765E7119">
      <w:pPr>
        <w:spacing w:line="360" w:lineRule="auto"/>
        <w:ind w:firstLine="630" w:firstLineChars="300"/>
        <w:rPr>
          <w:rFonts w:hint="eastAsia" w:ascii="仿宋" w:hAnsi="仿宋" w:eastAsia="仿宋" w:cs="仿宋"/>
          <w:color w:val="auto"/>
          <w:szCs w:val="21"/>
        </w:rPr>
      </w:pPr>
      <w:r>
        <w:rPr>
          <w:rFonts w:hint="eastAsia" w:ascii="仿宋" w:hAnsi="仿宋" w:eastAsia="仿宋" w:cs="仿宋"/>
          <w:color w:val="auto"/>
          <w:szCs w:val="21"/>
        </w:rPr>
        <w:t>3、以上内容有一项不合格的，则初步评审的综合评定结果为不合格。</w:t>
      </w:r>
    </w:p>
    <w:p w14:paraId="2E17796D">
      <w:pPr>
        <w:spacing w:line="360" w:lineRule="auto"/>
        <w:ind w:firstLine="630" w:firstLineChars="300"/>
        <w:rPr>
          <w:rFonts w:hint="eastAsia" w:ascii="仿宋" w:hAnsi="仿宋" w:eastAsia="仿宋" w:cs="仿宋"/>
          <w:color w:val="auto"/>
          <w:szCs w:val="21"/>
        </w:rPr>
      </w:pPr>
      <w:r>
        <w:rPr>
          <w:rFonts w:hint="eastAsia" w:ascii="仿宋" w:hAnsi="仿宋" w:eastAsia="仿宋" w:cs="仿宋"/>
          <w:color w:val="auto"/>
          <w:szCs w:val="21"/>
        </w:rPr>
        <w:t>4、资格性审查结论为“不合格”的供应商不得进入符合性审查及实质性评价打分程序。</w:t>
      </w:r>
    </w:p>
    <w:p w14:paraId="77B86D97">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72489CEA">
      <w:pPr>
        <w:pStyle w:val="4"/>
        <w:rPr>
          <w:rFonts w:hint="eastAsia" w:ascii="仿宋" w:hAnsi="仿宋" w:eastAsia="仿宋" w:cs="仿宋"/>
          <w:color w:val="auto"/>
          <w:sz w:val="28"/>
          <w:szCs w:val="28"/>
        </w:rPr>
      </w:pPr>
      <w:bookmarkStart w:id="87" w:name="_Toc1726"/>
      <w:bookmarkStart w:id="88" w:name="_Toc29200"/>
      <w:bookmarkStart w:id="89" w:name="_Toc15415"/>
      <w:r>
        <w:rPr>
          <w:rFonts w:hint="eastAsia" w:ascii="仿宋" w:hAnsi="仿宋" w:eastAsia="仿宋" w:cs="仿宋"/>
          <w:color w:val="auto"/>
          <w:sz w:val="28"/>
          <w:szCs w:val="28"/>
        </w:rPr>
        <w:t>附页3 符合性审查表</w:t>
      </w:r>
      <w:bookmarkEnd w:id="87"/>
      <w:bookmarkEnd w:id="88"/>
      <w:bookmarkEnd w:id="89"/>
    </w:p>
    <w:p w14:paraId="5CC4BFAA">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符合性审查表</w:t>
      </w:r>
    </w:p>
    <w:p w14:paraId="75CC195C">
      <w:pPr>
        <w:adjustRightInd w:val="0"/>
        <w:snapToGrid w:val="0"/>
        <w:spacing w:before="156" w:beforeLines="50" w:line="360" w:lineRule="auto"/>
        <w:rPr>
          <w:rFonts w:hint="eastAsia" w:ascii="仿宋" w:hAnsi="仿宋" w:eastAsia="仿宋" w:cs="仿宋"/>
          <w:color w:val="auto"/>
          <w:szCs w:val="21"/>
        </w:rPr>
      </w:pPr>
      <w:r>
        <w:rPr>
          <w:rFonts w:hint="eastAsia" w:ascii="仿宋" w:hAnsi="仿宋" w:eastAsia="仿宋" w:cs="仿宋"/>
          <w:color w:val="auto"/>
          <w:szCs w:val="21"/>
          <w:lang w:val="en-US" w:eastAsia="zh-CN"/>
        </w:rPr>
        <w:t>采购</w:t>
      </w:r>
      <w:r>
        <w:rPr>
          <w:rFonts w:hint="eastAsia" w:ascii="仿宋" w:hAnsi="仿宋" w:eastAsia="仿宋" w:cs="仿宋"/>
          <w:color w:val="auto"/>
          <w:szCs w:val="21"/>
        </w:rPr>
        <w:t xml:space="preserve">项目名称：                                            采购代理编号： </w:t>
      </w:r>
    </w:p>
    <w:tbl>
      <w:tblPr>
        <w:tblStyle w:val="26"/>
        <w:tblW w:w="929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7"/>
        <w:gridCol w:w="5212"/>
        <w:gridCol w:w="1078"/>
        <w:gridCol w:w="1078"/>
        <w:gridCol w:w="1080"/>
      </w:tblGrid>
      <w:tr w14:paraId="75DCE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47" w:type="dxa"/>
            <w:vAlign w:val="center"/>
          </w:tcPr>
          <w:p w14:paraId="6B988D60">
            <w:pPr>
              <w:adjustRightInd w:val="0"/>
              <w:snapToGrid w:val="0"/>
              <w:spacing w:before="156" w:beforeLines="50" w:line="360" w:lineRule="auto"/>
              <w:jc w:val="center"/>
              <w:rPr>
                <w:rFonts w:hint="eastAsia" w:ascii="仿宋" w:hAnsi="仿宋" w:eastAsia="仿宋" w:cs="仿宋"/>
                <w:b/>
                <w:color w:val="auto"/>
                <w:kern w:val="0"/>
                <w:szCs w:val="21"/>
              </w:rPr>
            </w:pPr>
            <w:r>
              <w:rPr>
                <w:rFonts w:hint="eastAsia" w:ascii="仿宋" w:hAnsi="仿宋" w:eastAsia="仿宋" w:cs="仿宋"/>
                <w:b/>
                <w:color w:val="auto"/>
                <w:kern w:val="0"/>
                <w:szCs w:val="21"/>
              </w:rPr>
              <w:t>序号</w:t>
            </w:r>
          </w:p>
        </w:tc>
        <w:tc>
          <w:tcPr>
            <w:tcW w:w="5212" w:type="dxa"/>
            <w:vAlign w:val="center"/>
          </w:tcPr>
          <w:p w14:paraId="1E0DFDE6">
            <w:pPr>
              <w:adjustRightInd w:val="0"/>
              <w:snapToGrid w:val="0"/>
              <w:spacing w:before="156" w:beforeLines="50" w:line="360" w:lineRule="auto"/>
              <w:jc w:val="center"/>
              <w:rPr>
                <w:rFonts w:hint="eastAsia" w:ascii="仿宋" w:hAnsi="仿宋" w:eastAsia="仿宋" w:cs="仿宋"/>
                <w:b/>
                <w:color w:val="auto"/>
                <w:kern w:val="0"/>
                <w:szCs w:val="21"/>
              </w:rPr>
            </w:pPr>
            <w:r>
              <w:rPr>
                <w:rFonts w:hint="eastAsia" w:ascii="仿宋" w:hAnsi="仿宋" w:eastAsia="仿宋" w:cs="仿宋"/>
                <w:b/>
                <w:color w:val="auto"/>
                <w:kern w:val="0"/>
                <w:szCs w:val="21"/>
              </w:rPr>
              <w:t>审查项目</w:t>
            </w:r>
          </w:p>
        </w:tc>
        <w:tc>
          <w:tcPr>
            <w:tcW w:w="3236" w:type="dxa"/>
            <w:gridSpan w:val="3"/>
            <w:vAlign w:val="center"/>
          </w:tcPr>
          <w:p w14:paraId="72869223">
            <w:pPr>
              <w:adjustRightInd w:val="0"/>
              <w:snapToGrid w:val="0"/>
              <w:spacing w:before="156" w:beforeLines="50" w:line="360" w:lineRule="auto"/>
              <w:jc w:val="center"/>
              <w:rPr>
                <w:rFonts w:hint="eastAsia" w:ascii="仿宋" w:hAnsi="仿宋" w:eastAsia="仿宋" w:cs="仿宋"/>
                <w:b/>
                <w:color w:val="auto"/>
                <w:kern w:val="0"/>
                <w:szCs w:val="21"/>
              </w:rPr>
            </w:pPr>
            <w:r>
              <w:rPr>
                <w:rFonts w:hint="eastAsia" w:ascii="仿宋" w:hAnsi="仿宋" w:eastAsia="仿宋" w:cs="仿宋"/>
                <w:b/>
                <w:color w:val="auto"/>
                <w:kern w:val="0"/>
                <w:szCs w:val="21"/>
              </w:rPr>
              <w:t>供应商名称及评审情况</w:t>
            </w:r>
          </w:p>
        </w:tc>
      </w:tr>
      <w:tr w14:paraId="74B2BD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47" w:type="dxa"/>
            <w:vAlign w:val="center"/>
          </w:tcPr>
          <w:p w14:paraId="724612AF">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5212" w:type="dxa"/>
            <w:vAlign w:val="center"/>
          </w:tcPr>
          <w:p w14:paraId="76B34720">
            <w:pPr>
              <w:jc w:val="left"/>
              <w:rPr>
                <w:rFonts w:hint="eastAsia" w:ascii="仿宋" w:hAnsi="仿宋" w:eastAsia="仿宋" w:cs="仿宋"/>
                <w:color w:val="auto"/>
                <w:szCs w:val="21"/>
              </w:rPr>
            </w:pPr>
            <w:r>
              <w:rPr>
                <w:rFonts w:hint="eastAsia" w:ascii="仿宋" w:hAnsi="仿宋" w:eastAsia="仿宋" w:cs="仿宋"/>
                <w:color w:val="auto"/>
                <w:szCs w:val="21"/>
              </w:rPr>
              <w:t>响应有效期满足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w:t>
            </w:r>
          </w:p>
        </w:tc>
        <w:tc>
          <w:tcPr>
            <w:tcW w:w="1078" w:type="dxa"/>
            <w:vAlign w:val="center"/>
          </w:tcPr>
          <w:p w14:paraId="4DE7604A">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69708DA0">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11B9EEB6">
            <w:pPr>
              <w:adjustRightInd w:val="0"/>
              <w:snapToGrid w:val="0"/>
              <w:spacing w:before="156" w:beforeLines="50" w:line="360" w:lineRule="auto"/>
              <w:rPr>
                <w:rFonts w:hint="eastAsia" w:ascii="仿宋" w:hAnsi="仿宋" w:eastAsia="仿宋" w:cs="仿宋"/>
                <w:color w:val="auto"/>
                <w:kern w:val="0"/>
                <w:szCs w:val="21"/>
              </w:rPr>
            </w:pPr>
          </w:p>
        </w:tc>
      </w:tr>
      <w:tr w14:paraId="420E5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47" w:type="dxa"/>
            <w:vAlign w:val="center"/>
          </w:tcPr>
          <w:p w14:paraId="527D8D9E">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5212" w:type="dxa"/>
            <w:vAlign w:val="center"/>
          </w:tcPr>
          <w:p w14:paraId="37B94777">
            <w:pPr>
              <w:rPr>
                <w:rFonts w:hint="eastAsia" w:ascii="仿宋" w:hAnsi="仿宋" w:eastAsia="仿宋" w:cs="仿宋"/>
                <w:color w:val="auto"/>
                <w:szCs w:val="21"/>
              </w:rPr>
            </w:pPr>
            <w:r>
              <w:rPr>
                <w:rFonts w:hint="eastAsia" w:ascii="仿宋" w:hAnsi="仿宋" w:eastAsia="仿宋" w:cs="仿宋"/>
                <w:color w:val="auto"/>
                <w:szCs w:val="21"/>
              </w:rPr>
              <w:t>响应范围满足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w:t>
            </w:r>
          </w:p>
        </w:tc>
        <w:tc>
          <w:tcPr>
            <w:tcW w:w="1078" w:type="dxa"/>
            <w:vAlign w:val="center"/>
          </w:tcPr>
          <w:p w14:paraId="57B5B5B0">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0BD9228F">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6B470157">
            <w:pPr>
              <w:adjustRightInd w:val="0"/>
              <w:snapToGrid w:val="0"/>
              <w:spacing w:before="156" w:beforeLines="50" w:line="360" w:lineRule="auto"/>
              <w:rPr>
                <w:rFonts w:hint="eastAsia" w:ascii="仿宋" w:hAnsi="仿宋" w:eastAsia="仿宋" w:cs="仿宋"/>
                <w:color w:val="auto"/>
                <w:kern w:val="0"/>
                <w:szCs w:val="21"/>
              </w:rPr>
            </w:pPr>
          </w:p>
        </w:tc>
      </w:tr>
      <w:tr w14:paraId="7A6E9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47" w:type="dxa"/>
            <w:vAlign w:val="center"/>
          </w:tcPr>
          <w:p w14:paraId="746591D7">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5212" w:type="dxa"/>
            <w:vAlign w:val="center"/>
          </w:tcPr>
          <w:p w14:paraId="5B5909FE">
            <w:pPr>
              <w:spacing w:line="420" w:lineRule="exact"/>
              <w:rPr>
                <w:rFonts w:hint="eastAsia" w:ascii="仿宋" w:hAnsi="仿宋" w:eastAsia="仿宋" w:cs="仿宋"/>
                <w:color w:val="auto"/>
                <w:szCs w:val="21"/>
                <w:lang w:val="en-US" w:eastAsia="zh-CN"/>
              </w:rPr>
            </w:pPr>
            <w:r>
              <w:rPr>
                <w:rFonts w:hint="eastAsia" w:ascii="仿宋" w:hAnsi="仿宋" w:eastAsia="仿宋" w:cs="仿宋"/>
                <w:color w:val="auto"/>
                <w:szCs w:val="21"/>
              </w:rPr>
              <w:t>响应文件满足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的实质性</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非实质性</w:t>
            </w:r>
            <w:r>
              <w:rPr>
                <w:rFonts w:hint="eastAsia" w:ascii="仿宋" w:hAnsi="仿宋" w:eastAsia="仿宋" w:cs="仿宋"/>
                <w:color w:val="auto"/>
                <w:szCs w:val="21"/>
              </w:rPr>
              <w:t>要求和条件</w:t>
            </w:r>
            <w:r>
              <w:rPr>
                <w:rFonts w:hint="eastAsia" w:ascii="仿宋" w:hAnsi="仿宋" w:eastAsia="仿宋" w:cs="仿宋"/>
                <w:color w:val="auto"/>
                <w:szCs w:val="21"/>
                <w:lang w:val="en-US" w:eastAsia="zh-CN"/>
              </w:rPr>
              <w:t xml:space="preserve">  </w:t>
            </w:r>
          </w:p>
        </w:tc>
        <w:tc>
          <w:tcPr>
            <w:tcW w:w="1078" w:type="dxa"/>
            <w:vAlign w:val="center"/>
          </w:tcPr>
          <w:p w14:paraId="48A5221B">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013E6404">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7097A9EE">
            <w:pPr>
              <w:adjustRightInd w:val="0"/>
              <w:snapToGrid w:val="0"/>
              <w:spacing w:before="156" w:beforeLines="50" w:line="360" w:lineRule="auto"/>
              <w:rPr>
                <w:rFonts w:hint="eastAsia" w:ascii="仿宋" w:hAnsi="仿宋" w:eastAsia="仿宋" w:cs="仿宋"/>
                <w:color w:val="auto"/>
                <w:kern w:val="0"/>
                <w:szCs w:val="21"/>
              </w:rPr>
            </w:pPr>
          </w:p>
        </w:tc>
      </w:tr>
      <w:tr w14:paraId="1D942F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47" w:type="dxa"/>
            <w:vAlign w:val="center"/>
          </w:tcPr>
          <w:p w14:paraId="5C8D7CB5">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5212" w:type="dxa"/>
            <w:vAlign w:val="center"/>
          </w:tcPr>
          <w:p w14:paraId="32A9BB6F">
            <w:pPr>
              <w:spacing w:line="420" w:lineRule="exact"/>
              <w:rPr>
                <w:rFonts w:hint="eastAsia" w:ascii="仿宋" w:hAnsi="仿宋" w:eastAsia="仿宋" w:cs="仿宋"/>
                <w:color w:val="auto"/>
                <w:szCs w:val="21"/>
                <w:highlight w:val="yellow"/>
                <w:lang w:val="en-US"/>
              </w:rPr>
            </w:pPr>
            <w:r>
              <w:rPr>
                <w:rFonts w:hint="eastAsia" w:ascii="仿宋" w:hAnsi="仿宋" w:eastAsia="仿宋" w:cs="仿宋"/>
                <w:color w:val="auto"/>
                <w:szCs w:val="21"/>
                <w:lang w:val="en-US" w:eastAsia="zh-CN"/>
              </w:rPr>
              <w:t>响应文件只有一个报价，无选择性报价且没有超过采购预算，报价</w:t>
            </w:r>
            <w:r>
              <w:rPr>
                <w:rFonts w:hint="eastAsia" w:ascii="仿宋" w:hAnsi="仿宋" w:eastAsia="仿宋" w:cs="仿宋"/>
                <w:color w:val="auto"/>
                <w:szCs w:val="21"/>
              </w:rPr>
              <w:t>满足</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w:t>
            </w:r>
          </w:p>
        </w:tc>
        <w:tc>
          <w:tcPr>
            <w:tcW w:w="1078" w:type="dxa"/>
            <w:vAlign w:val="center"/>
          </w:tcPr>
          <w:p w14:paraId="3EFA5597">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269D8FC0">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534A901B">
            <w:pPr>
              <w:adjustRightInd w:val="0"/>
              <w:snapToGrid w:val="0"/>
              <w:spacing w:before="156" w:beforeLines="50" w:line="360" w:lineRule="auto"/>
              <w:rPr>
                <w:rFonts w:hint="eastAsia" w:ascii="仿宋" w:hAnsi="仿宋" w:eastAsia="仿宋" w:cs="仿宋"/>
                <w:color w:val="auto"/>
                <w:kern w:val="0"/>
                <w:szCs w:val="21"/>
              </w:rPr>
            </w:pPr>
          </w:p>
        </w:tc>
      </w:tr>
      <w:tr w14:paraId="66EE3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47" w:type="dxa"/>
            <w:vAlign w:val="center"/>
          </w:tcPr>
          <w:p w14:paraId="67B60F70">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5212" w:type="dxa"/>
            <w:vAlign w:val="center"/>
          </w:tcPr>
          <w:p w14:paraId="5A134B41">
            <w:pPr>
              <w:rPr>
                <w:rFonts w:hint="eastAsia" w:ascii="仿宋" w:hAnsi="仿宋" w:eastAsia="仿宋" w:cs="仿宋"/>
                <w:color w:val="auto"/>
                <w:szCs w:val="21"/>
              </w:rPr>
            </w:pPr>
            <w:r>
              <w:rPr>
                <w:rFonts w:hint="eastAsia" w:ascii="仿宋" w:hAnsi="仿宋" w:eastAsia="仿宋" w:cs="仿宋"/>
                <w:color w:val="auto"/>
                <w:szCs w:val="21"/>
              </w:rPr>
              <w:t>响应文件未含有采购人不能接受的附加条件</w:t>
            </w:r>
          </w:p>
        </w:tc>
        <w:tc>
          <w:tcPr>
            <w:tcW w:w="1078" w:type="dxa"/>
            <w:vAlign w:val="center"/>
          </w:tcPr>
          <w:p w14:paraId="0010C5E8">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432CADDB">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0E4C2A55">
            <w:pPr>
              <w:adjustRightInd w:val="0"/>
              <w:snapToGrid w:val="0"/>
              <w:spacing w:before="156" w:beforeLines="50" w:line="360" w:lineRule="auto"/>
              <w:rPr>
                <w:rFonts w:hint="eastAsia" w:ascii="仿宋" w:hAnsi="仿宋" w:eastAsia="仿宋" w:cs="仿宋"/>
                <w:color w:val="auto"/>
                <w:kern w:val="0"/>
                <w:szCs w:val="21"/>
              </w:rPr>
            </w:pPr>
          </w:p>
        </w:tc>
      </w:tr>
      <w:tr w14:paraId="08931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47" w:type="dxa"/>
            <w:vAlign w:val="center"/>
          </w:tcPr>
          <w:p w14:paraId="44CB5872">
            <w:pPr>
              <w:adjustRightInd w:val="0"/>
              <w:snapToGrid w:val="0"/>
              <w:spacing w:before="156" w:beforeLines="5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5212" w:type="dxa"/>
            <w:vAlign w:val="center"/>
          </w:tcPr>
          <w:p w14:paraId="4F45DDB4">
            <w:pPr>
              <w:rPr>
                <w:rFonts w:hint="eastAsia" w:ascii="仿宋" w:hAnsi="仿宋" w:eastAsia="仿宋" w:cs="仿宋"/>
                <w:color w:val="auto"/>
                <w:szCs w:val="21"/>
              </w:rPr>
            </w:pPr>
            <w:r>
              <w:rPr>
                <w:rFonts w:hint="eastAsia" w:ascii="仿宋" w:hAnsi="仿宋" w:eastAsia="仿宋" w:cs="仿宋"/>
                <w:color w:val="auto"/>
                <w:szCs w:val="21"/>
              </w:rPr>
              <w:t>没有法律、法规和</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规定的其他投标无效情形</w:t>
            </w:r>
          </w:p>
        </w:tc>
        <w:tc>
          <w:tcPr>
            <w:tcW w:w="1078" w:type="dxa"/>
            <w:vAlign w:val="center"/>
          </w:tcPr>
          <w:p w14:paraId="08929246">
            <w:pPr>
              <w:adjustRightInd w:val="0"/>
              <w:snapToGrid w:val="0"/>
              <w:spacing w:before="156" w:beforeLines="50" w:line="360" w:lineRule="auto"/>
              <w:rPr>
                <w:rFonts w:hint="eastAsia" w:ascii="仿宋" w:hAnsi="仿宋" w:eastAsia="仿宋" w:cs="仿宋"/>
                <w:color w:val="auto"/>
                <w:kern w:val="0"/>
                <w:szCs w:val="21"/>
              </w:rPr>
            </w:pPr>
          </w:p>
        </w:tc>
        <w:tc>
          <w:tcPr>
            <w:tcW w:w="1078" w:type="dxa"/>
            <w:vAlign w:val="center"/>
          </w:tcPr>
          <w:p w14:paraId="5299C35B">
            <w:pPr>
              <w:adjustRightInd w:val="0"/>
              <w:snapToGrid w:val="0"/>
              <w:spacing w:before="156" w:beforeLines="50" w:line="360" w:lineRule="auto"/>
              <w:rPr>
                <w:rFonts w:hint="eastAsia" w:ascii="仿宋" w:hAnsi="仿宋" w:eastAsia="仿宋" w:cs="仿宋"/>
                <w:color w:val="auto"/>
                <w:kern w:val="0"/>
                <w:szCs w:val="21"/>
              </w:rPr>
            </w:pPr>
          </w:p>
        </w:tc>
        <w:tc>
          <w:tcPr>
            <w:tcW w:w="1080" w:type="dxa"/>
            <w:vAlign w:val="center"/>
          </w:tcPr>
          <w:p w14:paraId="3111926D">
            <w:pPr>
              <w:adjustRightInd w:val="0"/>
              <w:snapToGrid w:val="0"/>
              <w:spacing w:before="156" w:beforeLines="50" w:line="360" w:lineRule="auto"/>
              <w:rPr>
                <w:rFonts w:hint="eastAsia" w:ascii="仿宋" w:hAnsi="仿宋" w:eastAsia="仿宋" w:cs="仿宋"/>
                <w:color w:val="auto"/>
                <w:kern w:val="0"/>
                <w:szCs w:val="21"/>
              </w:rPr>
            </w:pPr>
          </w:p>
        </w:tc>
      </w:tr>
      <w:tr w14:paraId="07E5D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059" w:type="dxa"/>
            <w:gridSpan w:val="2"/>
            <w:vAlign w:val="center"/>
          </w:tcPr>
          <w:p w14:paraId="2DD29DA4">
            <w:pPr>
              <w:adjustRightInd w:val="0"/>
              <w:snapToGrid w:val="0"/>
              <w:spacing w:before="156" w:beforeLines="50" w:line="360" w:lineRule="auto"/>
              <w:jc w:val="center"/>
              <w:rPr>
                <w:rFonts w:hint="eastAsia" w:ascii="仿宋" w:hAnsi="仿宋" w:eastAsia="仿宋" w:cs="仿宋"/>
                <w:color w:val="auto"/>
                <w:kern w:val="0"/>
                <w:sz w:val="20"/>
                <w:szCs w:val="21"/>
              </w:rPr>
            </w:pPr>
            <w:r>
              <w:rPr>
                <w:rFonts w:hint="eastAsia" w:ascii="仿宋" w:hAnsi="仿宋" w:eastAsia="仿宋" w:cs="仿宋"/>
                <w:color w:val="auto"/>
                <w:kern w:val="0"/>
                <w:szCs w:val="21"/>
              </w:rPr>
              <w:t>审查结论</w:t>
            </w:r>
          </w:p>
        </w:tc>
        <w:tc>
          <w:tcPr>
            <w:tcW w:w="1078" w:type="dxa"/>
            <w:vAlign w:val="center"/>
          </w:tcPr>
          <w:p w14:paraId="17C34A5C">
            <w:pPr>
              <w:adjustRightInd w:val="0"/>
              <w:snapToGrid w:val="0"/>
              <w:spacing w:before="156" w:beforeLines="50" w:line="360" w:lineRule="auto"/>
              <w:rPr>
                <w:rFonts w:hint="eastAsia" w:ascii="仿宋" w:hAnsi="仿宋" w:eastAsia="仿宋" w:cs="仿宋"/>
                <w:color w:val="auto"/>
                <w:kern w:val="0"/>
                <w:sz w:val="20"/>
                <w:szCs w:val="21"/>
              </w:rPr>
            </w:pPr>
          </w:p>
        </w:tc>
        <w:tc>
          <w:tcPr>
            <w:tcW w:w="1078" w:type="dxa"/>
            <w:vAlign w:val="center"/>
          </w:tcPr>
          <w:p w14:paraId="2680B590">
            <w:pPr>
              <w:adjustRightInd w:val="0"/>
              <w:snapToGrid w:val="0"/>
              <w:spacing w:before="156" w:beforeLines="50" w:line="360" w:lineRule="auto"/>
              <w:rPr>
                <w:rFonts w:hint="eastAsia" w:ascii="仿宋" w:hAnsi="仿宋" w:eastAsia="仿宋" w:cs="仿宋"/>
                <w:color w:val="auto"/>
                <w:kern w:val="0"/>
                <w:sz w:val="20"/>
                <w:szCs w:val="21"/>
              </w:rPr>
            </w:pPr>
          </w:p>
        </w:tc>
        <w:tc>
          <w:tcPr>
            <w:tcW w:w="1080" w:type="dxa"/>
            <w:vAlign w:val="center"/>
          </w:tcPr>
          <w:p w14:paraId="2E234830">
            <w:pPr>
              <w:adjustRightInd w:val="0"/>
              <w:snapToGrid w:val="0"/>
              <w:spacing w:before="156" w:beforeLines="50" w:line="360" w:lineRule="auto"/>
              <w:rPr>
                <w:rFonts w:hint="eastAsia" w:ascii="仿宋" w:hAnsi="仿宋" w:eastAsia="仿宋" w:cs="仿宋"/>
                <w:color w:val="auto"/>
                <w:kern w:val="0"/>
                <w:sz w:val="20"/>
                <w:szCs w:val="21"/>
              </w:rPr>
            </w:pPr>
          </w:p>
        </w:tc>
      </w:tr>
      <w:tr w14:paraId="7FD4D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95" w:type="dxa"/>
            <w:gridSpan w:val="5"/>
            <w:vAlign w:val="center"/>
          </w:tcPr>
          <w:p w14:paraId="1D5A6E5C">
            <w:pPr>
              <w:adjustRightInd w:val="0"/>
              <w:snapToGrid w:val="0"/>
              <w:spacing w:before="156" w:beforeLines="50" w:line="360" w:lineRule="auto"/>
              <w:rPr>
                <w:rFonts w:hint="eastAsia" w:ascii="仿宋" w:hAnsi="仿宋" w:eastAsia="仿宋" w:cs="仿宋"/>
                <w:color w:val="auto"/>
                <w:kern w:val="0"/>
                <w:sz w:val="20"/>
                <w:szCs w:val="21"/>
              </w:rPr>
            </w:pPr>
            <w:r>
              <w:rPr>
                <w:rFonts w:hint="eastAsia" w:ascii="仿宋" w:hAnsi="仿宋" w:eastAsia="仿宋" w:cs="仿宋"/>
                <w:color w:val="auto"/>
                <w:szCs w:val="21"/>
              </w:rPr>
              <w:t>备注：</w:t>
            </w:r>
          </w:p>
        </w:tc>
      </w:tr>
    </w:tbl>
    <w:p w14:paraId="15409480">
      <w:pPr>
        <w:spacing w:before="156" w:beforeLines="50" w:line="360" w:lineRule="auto"/>
        <w:rPr>
          <w:rFonts w:hint="eastAsia" w:ascii="仿宋" w:hAnsi="仿宋" w:eastAsia="仿宋" w:cs="仿宋"/>
          <w:color w:val="auto"/>
          <w:szCs w:val="21"/>
        </w:rPr>
      </w:pPr>
      <w:r>
        <w:rPr>
          <w:rFonts w:hint="eastAsia" w:ascii="仿宋" w:hAnsi="仿宋" w:eastAsia="仿宋" w:cs="仿宋"/>
          <w:color w:val="auto"/>
          <w:szCs w:val="21"/>
          <w:lang w:eastAsia="zh-CN"/>
        </w:rPr>
        <w:t>评审小组</w:t>
      </w:r>
      <w:r>
        <w:rPr>
          <w:rFonts w:hint="eastAsia" w:ascii="仿宋" w:hAnsi="仿宋" w:eastAsia="仿宋" w:cs="仿宋"/>
          <w:color w:val="auto"/>
          <w:szCs w:val="21"/>
        </w:rPr>
        <w:t>成员签字：                                          202</w:t>
      </w:r>
      <w:r>
        <w:rPr>
          <w:rFonts w:hint="eastAsia" w:ascii="仿宋" w:hAnsi="仿宋" w:eastAsia="仿宋" w:cs="仿宋"/>
          <w:color w:val="auto"/>
          <w:szCs w:val="21"/>
          <w:lang w:val="en-US" w:eastAsia="zh-CN"/>
        </w:rPr>
        <w:t>5</w:t>
      </w:r>
      <w:r>
        <w:rPr>
          <w:rFonts w:hint="eastAsia" w:ascii="仿宋" w:hAnsi="仿宋" w:eastAsia="仿宋" w:cs="仿宋"/>
          <w:color w:val="auto"/>
          <w:szCs w:val="21"/>
        </w:rPr>
        <w:t>年   月   日</w:t>
      </w:r>
    </w:p>
    <w:p w14:paraId="435676DA">
      <w:pPr>
        <w:spacing w:line="360" w:lineRule="auto"/>
        <w:rPr>
          <w:rFonts w:hint="eastAsia" w:ascii="仿宋" w:hAnsi="仿宋" w:eastAsia="仿宋" w:cs="仿宋"/>
          <w:b/>
          <w:color w:val="auto"/>
          <w:szCs w:val="21"/>
        </w:rPr>
      </w:pPr>
    </w:p>
    <w:p w14:paraId="12CEBCE7">
      <w:pPr>
        <w:spacing w:line="360" w:lineRule="auto"/>
        <w:rPr>
          <w:rFonts w:hint="eastAsia" w:ascii="仿宋" w:hAnsi="仿宋" w:eastAsia="仿宋" w:cs="仿宋"/>
          <w:color w:val="auto"/>
          <w:szCs w:val="21"/>
        </w:rPr>
      </w:pPr>
      <w:r>
        <w:rPr>
          <w:rFonts w:hint="eastAsia" w:ascii="仿宋" w:hAnsi="仿宋" w:eastAsia="仿宋" w:cs="仿宋"/>
          <w:b/>
          <w:color w:val="auto"/>
          <w:szCs w:val="21"/>
        </w:rPr>
        <w:t>备注：</w:t>
      </w:r>
      <w:r>
        <w:rPr>
          <w:rFonts w:hint="eastAsia" w:ascii="仿宋" w:hAnsi="仿宋" w:eastAsia="仿宋" w:cs="仿宋"/>
          <w:color w:val="auto"/>
          <w:szCs w:val="21"/>
        </w:rPr>
        <w:t>1、上述表中审查情况合格打“√”，不合格打“×”，不合格原因应在备注栏内详细说明。</w:t>
      </w:r>
    </w:p>
    <w:p w14:paraId="0991187E">
      <w:pPr>
        <w:spacing w:line="360" w:lineRule="auto"/>
        <w:ind w:firstLine="630" w:firstLineChars="300"/>
        <w:rPr>
          <w:rFonts w:hint="eastAsia" w:ascii="仿宋" w:hAnsi="仿宋" w:eastAsia="仿宋" w:cs="仿宋"/>
          <w:color w:val="auto"/>
          <w:szCs w:val="21"/>
        </w:rPr>
      </w:pPr>
      <w:r>
        <w:rPr>
          <w:rFonts w:hint="eastAsia" w:ascii="仿宋" w:hAnsi="仿宋" w:eastAsia="仿宋" w:cs="仿宋"/>
          <w:color w:val="auto"/>
          <w:szCs w:val="21"/>
        </w:rPr>
        <w:t>2、在结论栏中填写“合格”或“不合格”。</w:t>
      </w:r>
    </w:p>
    <w:p w14:paraId="16E2CB2A">
      <w:pPr>
        <w:spacing w:line="360" w:lineRule="auto"/>
        <w:ind w:firstLine="630" w:firstLineChars="300"/>
        <w:rPr>
          <w:rFonts w:hint="eastAsia" w:ascii="仿宋" w:hAnsi="仿宋" w:eastAsia="仿宋" w:cs="仿宋"/>
          <w:color w:val="auto"/>
          <w:szCs w:val="21"/>
        </w:rPr>
      </w:pPr>
      <w:r>
        <w:rPr>
          <w:rFonts w:hint="eastAsia" w:ascii="仿宋" w:hAnsi="仿宋" w:eastAsia="仿宋" w:cs="仿宋"/>
          <w:color w:val="auto"/>
          <w:szCs w:val="21"/>
        </w:rPr>
        <w:t>3、以上内容有一项不合格的，则初步评审的综合评定结果为不合格。</w:t>
      </w:r>
    </w:p>
    <w:p w14:paraId="49B443DB">
      <w:pPr>
        <w:spacing w:line="360" w:lineRule="auto"/>
        <w:ind w:firstLine="630" w:firstLineChars="300"/>
        <w:rPr>
          <w:rFonts w:hint="eastAsia" w:ascii="仿宋" w:hAnsi="仿宋" w:eastAsia="仿宋" w:cs="仿宋"/>
          <w:color w:val="auto"/>
          <w:szCs w:val="21"/>
        </w:rPr>
      </w:pPr>
      <w:r>
        <w:rPr>
          <w:rFonts w:hint="eastAsia" w:ascii="仿宋" w:hAnsi="仿宋" w:eastAsia="仿宋" w:cs="仿宋"/>
          <w:color w:val="auto"/>
          <w:szCs w:val="21"/>
        </w:rPr>
        <w:t>4、符合性审查结论为“不合格”的供应商不得进入实质性评价打分程序。</w:t>
      </w:r>
    </w:p>
    <w:p w14:paraId="71684EAA">
      <w:pPr>
        <w:pStyle w:val="11"/>
        <w:rPr>
          <w:rFonts w:hint="eastAsia" w:ascii="仿宋" w:hAnsi="仿宋" w:eastAsia="仿宋" w:cs="仿宋"/>
          <w:color w:val="auto"/>
        </w:rPr>
      </w:pPr>
    </w:p>
    <w:p w14:paraId="6F162C67">
      <w:pPr>
        <w:widowControl/>
        <w:jc w:val="left"/>
        <w:rPr>
          <w:rFonts w:hint="eastAsia" w:ascii="仿宋" w:hAnsi="仿宋" w:eastAsia="仿宋" w:cs="仿宋"/>
          <w:b/>
          <w:bCs/>
          <w:color w:val="auto"/>
          <w:sz w:val="24"/>
        </w:rPr>
      </w:pPr>
      <w:r>
        <w:rPr>
          <w:rFonts w:hint="eastAsia" w:ascii="仿宋" w:hAnsi="仿宋" w:eastAsia="仿宋" w:cs="仿宋"/>
          <w:color w:val="auto"/>
          <w:sz w:val="24"/>
        </w:rPr>
        <w:br w:type="page"/>
      </w:r>
    </w:p>
    <w:bookmarkEnd w:id="78"/>
    <w:bookmarkEnd w:id="79"/>
    <w:bookmarkEnd w:id="80"/>
    <w:bookmarkEnd w:id="81"/>
    <w:bookmarkEnd w:id="82"/>
    <w:bookmarkEnd w:id="83"/>
    <w:p w14:paraId="75B483EF">
      <w:pPr>
        <w:pStyle w:val="11"/>
        <w:numPr>
          <w:ilvl w:val="0"/>
          <w:numId w:val="0"/>
        </w:numPr>
        <w:spacing w:after="0" w:line="500" w:lineRule="exact"/>
        <w:jc w:val="center"/>
        <w:rPr>
          <w:rFonts w:hint="eastAsia" w:ascii="仿宋" w:hAnsi="仿宋" w:eastAsia="仿宋" w:cs="仿宋"/>
          <w:b/>
          <w:color w:val="auto"/>
          <w:sz w:val="36"/>
        </w:rPr>
      </w:pPr>
      <w:bookmarkStart w:id="90" w:name="_Toc32479"/>
      <w:bookmarkStart w:id="91" w:name="_Toc74"/>
      <w:bookmarkStart w:id="92" w:name="_Toc5018"/>
      <w:r>
        <w:rPr>
          <w:rFonts w:hint="eastAsia" w:ascii="仿宋" w:hAnsi="仿宋" w:eastAsia="仿宋" w:cs="仿宋"/>
          <w:b/>
          <w:color w:val="auto"/>
          <w:sz w:val="36"/>
          <w:lang w:eastAsia="zh-CN"/>
        </w:rPr>
        <w:t>第三章</w:t>
      </w:r>
      <w:r>
        <w:rPr>
          <w:rFonts w:hint="eastAsia" w:ascii="仿宋" w:hAnsi="仿宋" w:eastAsia="仿宋" w:cs="仿宋"/>
          <w:b/>
          <w:color w:val="auto"/>
          <w:sz w:val="36"/>
          <w:lang w:val="en-US" w:eastAsia="zh-CN"/>
        </w:rPr>
        <w:t xml:space="preserve"> </w:t>
      </w:r>
      <w:r>
        <w:rPr>
          <w:rFonts w:hint="eastAsia" w:ascii="仿宋" w:hAnsi="仿宋" w:eastAsia="仿宋" w:cs="仿宋"/>
          <w:b/>
          <w:color w:val="auto"/>
          <w:sz w:val="36"/>
          <w:lang w:eastAsia="zh-CN"/>
        </w:rPr>
        <w:t>采购</w:t>
      </w:r>
      <w:r>
        <w:rPr>
          <w:rFonts w:hint="eastAsia" w:ascii="仿宋" w:hAnsi="仿宋" w:eastAsia="仿宋" w:cs="仿宋"/>
          <w:b/>
          <w:color w:val="auto"/>
          <w:sz w:val="36"/>
        </w:rPr>
        <w:t>合同(格式)</w:t>
      </w:r>
      <w:bookmarkStart w:id="93" w:name="_Toc22209"/>
    </w:p>
    <w:bookmarkEnd w:id="93"/>
    <w:p w14:paraId="69F554E5">
      <w:pPr>
        <w:jc w:val="both"/>
        <w:rPr>
          <w:rFonts w:hint="eastAsia" w:ascii="仿宋" w:hAnsi="仿宋" w:eastAsia="仿宋" w:cs="仿宋"/>
          <w:sz w:val="32"/>
          <w:szCs w:val="32"/>
        </w:rPr>
      </w:pPr>
    </w:p>
    <w:p w14:paraId="7D9AA0CB">
      <w:pPr>
        <w:jc w:val="center"/>
        <w:rPr>
          <w:rFonts w:hint="eastAsia" w:ascii="仿宋" w:hAnsi="仿宋" w:eastAsia="仿宋" w:cs="仿宋"/>
          <w:sz w:val="32"/>
          <w:szCs w:val="32"/>
        </w:rPr>
      </w:pPr>
    </w:p>
    <w:p w14:paraId="3A3873C0">
      <w:pPr>
        <w:pStyle w:val="3"/>
        <w:jc w:val="center"/>
        <w:rPr>
          <w:rFonts w:ascii="楷体" w:hAnsi="楷体" w:eastAsia="楷体" w:cs="楷体"/>
          <w:sz w:val="30"/>
          <w:szCs w:val="30"/>
        </w:rPr>
      </w:pPr>
      <w:bookmarkStart w:id="94" w:name="_Toc25511"/>
      <w:bookmarkStart w:id="95" w:name="_Toc4355"/>
      <w:bookmarkStart w:id="96" w:name="_Toc17098"/>
      <w:bookmarkStart w:id="97" w:name="_Toc6693"/>
      <w:bookmarkStart w:id="98" w:name="_Toc27790"/>
      <w:bookmarkStart w:id="99" w:name="_Toc29154"/>
      <w:bookmarkStart w:id="100" w:name="_Toc31350"/>
      <w:bookmarkStart w:id="101" w:name="_Toc13536"/>
      <w:r>
        <w:rPr>
          <w:rFonts w:hint="eastAsia" w:ascii="楷体" w:hAnsi="楷体" w:eastAsia="楷体" w:cs="楷体"/>
          <w:sz w:val="30"/>
          <w:szCs w:val="30"/>
        </w:rPr>
        <w:t>第一节 政府采购合同协议书</w:t>
      </w:r>
      <w:bookmarkEnd w:id="94"/>
      <w:bookmarkEnd w:id="95"/>
      <w:bookmarkEnd w:id="96"/>
      <w:bookmarkEnd w:id="97"/>
      <w:bookmarkEnd w:id="98"/>
      <w:bookmarkEnd w:id="99"/>
      <w:bookmarkEnd w:id="100"/>
      <w:bookmarkEnd w:id="101"/>
    </w:p>
    <w:p w14:paraId="067BD844">
      <w:pPr>
        <w:spacing w:before="72" w:beforeLines="30" w:after="72" w:afterLines="30" w:line="360" w:lineRule="auto"/>
        <w:rPr>
          <w:rFonts w:ascii="楷体" w:hAnsi="楷体" w:eastAsia="楷体" w:cs="楷体"/>
          <w:szCs w:val="21"/>
        </w:rPr>
      </w:pPr>
      <w:r>
        <w:rPr>
          <w:rFonts w:hint="eastAsia" w:ascii="楷体" w:hAnsi="楷体" w:eastAsia="楷体" w:cs="楷体"/>
          <w:szCs w:val="21"/>
        </w:rPr>
        <w:t xml:space="preserve"> 采购合同编号：</w:t>
      </w:r>
    </w:p>
    <w:p w14:paraId="3F4D2710">
      <w:pPr>
        <w:widowControl/>
        <w:spacing w:line="360" w:lineRule="auto"/>
        <w:jc w:val="left"/>
        <w:rPr>
          <w:rFonts w:ascii="楷体" w:hAnsi="楷体" w:eastAsia="楷体" w:cs="楷体"/>
          <w:szCs w:val="21"/>
        </w:rPr>
      </w:pPr>
      <w:r>
        <w:rPr>
          <w:rFonts w:hint="eastAsia" w:ascii="楷体" w:hAnsi="楷体" w:eastAsia="楷体" w:cs="楷体"/>
          <w:kern w:val="0"/>
          <w:szCs w:val="21"/>
        </w:rPr>
        <w:t>建设单位/发包人（全称）：</w:t>
      </w:r>
      <w:r>
        <w:rPr>
          <w:rFonts w:hint="eastAsia" w:ascii="楷体" w:hAnsi="楷体" w:eastAsia="楷体" w:cs="楷体"/>
          <w:kern w:val="0"/>
          <w:szCs w:val="21"/>
          <w:u w:val="single"/>
          <w:lang w:val="en-US" w:eastAsia="zh-CN"/>
        </w:rPr>
        <w:t xml:space="preserve">     </w:t>
      </w:r>
      <w:r>
        <w:rPr>
          <w:rFonts w:hint="eastAsia" w:ascii="楷体" w:hAnsi="楷体" w:eastAsia="楷体" w:cs="楷体"/>
          <w:kern w:val="0"/>
          <w:szCs w:val="21"/>
        </w:rPr>
        <w:t xml:space="preserve">（以下简称甲方） </w:t>
      </w:r>
    </w:p>
    <w:p w14:paraId="0C78D532">
      <w:pPr>
        <w:spacing w:line="360" w:lineRule="auto"/>
        <w:rPr>
          <w:rFonts w:ascii="楷体" w:hAnsi="楷体" w:eastAsia="楷体" w:cs="楷体"/>
        </w:rPr>
      </w:pPr>
      <w:r>
        <w:rPr>
          <w:rFonts w:hint="eastAsia" w:ascii="楷体" w:hAnsi="楷体" w:eastAsia="楷体" w:cs="楷体"/>
          <w:kern w:val="0"/>
          <w:szCs w:val="21"/>
        </w:rPr>
        <w:t>施工单位/承包人（全称）：（以下简称乙方）</w:t>
      </w:r>
    </w:p>
    <w:p w14:paraId="0833BC84">
      <w:pPr>
        <w:spacing w:line="360" w:lineRule="auto"/>
        <w:ind w:firstLine="420" w:firstLineChars="200"/>
        <w:rPr>
          <w:rFonts w:ascii="楷体" w:hAnsi="楷体" w:eastAsia="楷体" w:cs="楷体"/>
          <w:szCs w:val="21"/>
        </w:rPr>
      </w:pPr>
      <w:r>
        <w:rPr>
          <w:rFonts w:hint="eastAsia" w:ascii="楷体" w:hAnsi="楷体" w:eastAsia="楷体" w:cs="楷体"/>
          <w:szCs w:val="21"/>
        </w:rPr>
        <w:t>为了保护甲、乙双方合法权益，根据《中华人民共和国民法典》、《中华人民共和国政府采购法》、《中华人民共和国建筑法》及其他有关法律、法规规定，遵循平等、自愿、公平和诚实信用的原则，双方就</w:t>
      </w:r>
      <w:r>
        <w:rPr>
          <w:rFonts w:hint="eastAsia" w:ascii="楷体" w:hAnsi="楷体" w:eastAsia="楷体" w:cs="楷体"/>
          <w:szCs w:val="21"/>
          <w:u w:val="single"/>
        </w:rPr>
        <w:t xml:space="preserve">     （采购项目名称）    </w:t>
      </w:r>
      <w:r>
        <w:rPr>
          <w:rFonts w:hint="eastAsia" w:ascii="楷体" w:hAnsi="楷体" w:eastAsia="楷体" w:cs="楷体"/>
          <w:szCs w:val="21"/>
        </w:rPr>
        <w:t>及有关事项协商一致，共同达成如下协议：</w:t>
      </w:r>
    </w:p>
    <w:p w14:paraId="0837DE04">
      <w:pPr>
        <w:spacing w:line="360" w:lineRule="auto"/>
        <w:ind w:firstLine="422" w:firstLineChars="200"/>
        <w:outlineLvl w:val="2"/>
        <w:rPr>
          <w:rFonts w:ascii="楷体" w:hAnsi="楷体" w:eastAsia="楷体" w:cs="楷体"/>
          <w:b/>
          <w:bCs/>
          <w:szCs w:val="21"/>
        </w:rPr>
      </w:pPr>
      <w:bookmarkStart w:id="102" w:name="_Toc4413"/>
      <w:bookmarkStart w:id="103" w:name="_Toc12214"/>
      <w:r>
        <w:rPr>
          <w:rFonts w:hint="eastAsia" w:ascii="楷体" w:hAnsi="楷体" w:eastAsia="楷体" w:cs="楷体"/>
          <w:b/>
          <w:bCs/>
          <w:szCs w:val="21"/>
        </w:rPr>
        <w:t>1.项目信息</w:t>
      </w:r>
      <w:bookmarkEnd w:id="102"/>
      <w:bookmarkEnd w:id="103"/>
    </w:p>
    <w:p w14:paraId="68DF981B">
      <w:pPr>
        <w:spacing w:line="360" w:lineRule="auto"/>
        <w:ind w:firstLine="420" w:firstLineChars="200"/>
        <w:rPr>
          <w:rFonts w:ascii="楷体" w:hAnsi="楷体" w:eastAsia="楷体" w:cs="楷体"/>
          <w:szCs w:val="21"/>
        </w:rPr>
      </w:pPr>
      <w:r>
        <w:rPr>
          <w:rFonts w:hint="eastAsia" w:ascii="楷体" w:hAnsi="楷体" w:eastAsia="楷体" w:cs="楷体"/>
          <w:szCs w:val="21"/>
        </w:rPr>
        <w:t>（1）采购项目名称：</w:t>
      </w:r>
    </w:p>
    <w:p w14:paraId="6912DA31">
      <w:pPr>
        <w:spacing w:line="360" w:lineRule="auto"/>
        <w:ind w:firstLine="420" w:firstLineChars="200"/>
        <w:rPr>
          <w:rFonts w:ascii="楷体" w:hAnsi="楷体" w:eastAsia="楷体" w:cs="楷体"/>
          <w:szCs w:val="21"/>
        </w:rPr>
      </w:pPr>
      <w:r>
        <w:rPr>
          <w:rFonts w:hint="eastAsia" w:ascii="楷体" w:hAnsi="楷体" w:eastAsia="楷体" w:cs="楷体"/>
          <w:szCs w:val="21"/>
        </w:rPr>
        <w:t>（2）政府采购编号：</w:t>
      </w:r>
    </w:p>
    <w:p w14:paraId="49B9CD3B">
      <w:pPr>
        <w:spacing w:line="360" w:lineRule="auto"/>
        <w:ind w:firstLine="420" w:firstLineChars="200"/>
        <w:rPr>
          <w:rFonts w:ascii="楷体" w:hAnsi="楷体" w:eastAsia="楷体" w:cs="楷体"/>
          <w:szCs w:val="21"/>
        </w:rPr>
      </w:pPr>
      <w:r>
        <w:rPr>
          <w:rFonts w:hint="eastAsia" w:ascii="楷体" w:hAnsi="楷体" w:eastAsia="楷体" w:cs="楷体"/>
          <w:szCs w:val="21"/>
        </w:rPr>
        <w:t>（3）项目内容：</w:t>
      </w:r>
    </w:p>
    <w:p w14:paraId="63066823">
      <w:pPr>
        <w:spacing w:line="360" w:lineRule="auto"/>
        <w:ind w:firstLine="420" w:firstLineChars="200"/>
        <w:rPr>
          <w:rFonts w:ascii="楷体" w:hAnsi="楷体" w:eastAsia="楷体" w:cs="楷体"/>
          <w:szCs w:val="21"/>
          <w:u w:val="single"/>
        </w:rPr>
      </w:pPr>
      <w:r>
        <w:rPr>
          <w:rFonts w:hint="eastAsia" w:ascii="楷体" w:hAnsi="楷体" w:eastAsia="楷体" w:cs="楷体"/>
          <w:szCs w:val="21"/>
        </w:rPr>
        <w:t>（4）承包范围：</w:t>
      </w:r>
    </w:p>
    <w:p w14:paraId="5C37C9F2">
      <w:pPr>
        <w:spacing w:line="360" w:lineRule="auto"/>
        <w:ind w:firstLine="420" w:firstLineChars="200"/>
        <w:rPr>
          <w:rFonts w:ascii="楷体" w:hAnsi="楷体" w:eastAsia="楷体" w:cs="楷体"/>
          <w:szCs w:val="21"/>
        </w:rPr>
      </w:pPr>
      <w:r>
        <w:rPr>
          <w:rFonts w:hint="eastAsia" w:ascii="楷体" w:hAnsi="楷体" w:eastAsia="楷体" w:cs="楷体"/>
          <w:szCs w:val="21"/>
        </w:rPr>
        <w:t>（5）项目经理：</w:t>
      </w:r>
    </w:p>
    <w:p w14:paraId="22F1DB92">
      <w:pPr>
        <w:spacing w:line="360" w:lineRule="auto"/>
        <w:ind w:firstLine="422" w:firstLineChars="200"/>
        <w:outlineLvl w:val="2"/>
        <w:rPr>
          <w:rFonts w:ascii="楷体" w:hAnsi="楷体" w:eastAsia="楷体" w:cs="楷体"/>
          <w:b/>
          <w:bCs/>
          <w:szCs w:val="21"/>
        </w:rPr>
      </w:pPr>
      <w:bookmarkStart w:id="104" w:name="_Toc18984"/>
      <w:bookmarkStart w:id="105" w:name="_Toc23849"/>
      <w:r>
        <w:rPr>
          <w:rFonts w:hint="eastAsia" w:ascii="楷体" w:hAnsi="楷体" w:eastAsia="楷体" w:cs="楷体"/>
          <w:b/>
          <w:bCs/>
          <w:szCs w:val="21"/>
        </w:rPr>
        <w:t>2.合同金额</w:t>
      </w:r>
      <w:bookmarkEnd w:id="104"/>
      <w:bookmarkEnd w:id="105"/>
    </w:p>
    <w:p w14:paraId="39D95111">
      <w:pPr>
        <w:spacing w:line="360" w:lineRule="auto"/>
        <w:ind w:firstLine="420" w:firstLineChars="200"/>
        <w:rPr>
          <w:rFonts w:ascii="楷体" w:hAnsi="楷体" w:eastAsia="楷体" w:cs="楷体"/>
          <w:szCs w:val="21"/>
        </w:rPr>
      </w:pPr>
      <w:r>
        <w:rPr>
          <w:rFonts w:hint="eastAsia" w:ascii="楷体" w:hAnsi="楷体" w:eastAsia="楷体" w:cs="楷体"/>
          <w:szCs w:val="21"/>
        </w:rPr>
        <w:t>（1）合同金额小写：</w:t>
      </w:r>
    </w:p>
    <w:p w14:paraId="4468A6D7">
      <w:pPr>
        <w:spacing w:line="360" w:lineRule="auto"/>
        <w:ind w:firstLine="1890" w:firstLineChars="900"/>
        <w:rPr>
          <w:rFonts w:ascii="楷体" w:hAnsi="楷体" w:eastAsia="楷体" w:cs="楷体"/>
          <w:szCs w:val="21"/>
        </w:rPr>
      </w:pPr>
      <w:r>
        <w:rPr>
          <w:rFonts w:hint="eastAsia" w:ascii="楷体" w:hAnsi="楷体" w:eastAsia="楷体" w:cs="楷体"/>
          <w:szCs w:val="21"/>
        </w:rPr>
        <w:t>大写：</w:t>
      </w:r>
    </w:p>
    <w:p w14:paraId="0201D6E3">
      <w:pPr>
        <w:spacing w:line="360" w:lineRule="auto"/>
        <w:ind w:firstLine="420" w:firstLineChars="200"/>
        <w:rPr>
          <w:rFonts w:ascii="楷体" w:hAnsi="楷体" w:eastAsia="楷体" w:cs="楷体"/>
          <w:szCs w:val="21"/>
        </w:rPr>
      </w:pPr>
      <w:r>
        <w:rPr>
          <w:rFonts w:hint="eastAsia" w:ascii="楷体" w:hAnsi="楷体" w:eastAsia="楷体" w:cs="楷体"/>
          <w:szCs w:val="21"/>
        </w:rPr>
        <w:t>（2）合同价格形式：。</w:t>
      </w:r>
    </w:p>
    <w:p w14:paraId="483C893C">
      <w:pPr>
        <w:spacing w:line="360" w:lineRule="auto"/>
        <w:ind w:firstLine="422" w:firstLineChars="200"/>
        <w:outlineLvl w:val="2"/>
        <w:rPr>
          <w:rFonts w:ascii="楷体" w:hAnsi="楷体" w:eastAsia="楷体" w:cs="楷体"/>
          <w:b/>
          <w:bCs/>
          <w:szCs w:val="21"/>
        </w:rPr>
      </w:pPr>
      <w:bookmarkStart w:id="106" w:name="_Toc18036"/>
      <w:bookmarkStart w:id="107" w:name="_Toc11179"/>
      <w:r>
        <w:rPr>
          <w:rFonts w:hint="eastAsia" w:ascii="楷体" w:hAnsi="楷体" w:eastAsia="楷体" w:cs="楷体"/>
          <w:b/>
          <w:bCs/>
          <w:szCs w:val="21"/>
        </w:rPr>
        <w:t>3.履行合同的时间、地点及方式</w:t>
      </w:r>
      <w:bookmarkEnd w:id="106"/>
      <w:bookmarkEnd w:id="107"/>
    </w:p>
    <w:p w14:paraId="48AE50BD">
      <w:pPr>
        <w:spacing w:line="360" w:lineRule="auto"/>
        <w:ind w:firstLine="420" w:firstLineChars="200"/>
        <w:rPr>
          <w:rFonts w:ascii="楷体" w:hAnsi="楷体" w:eastAsia="楷体" w:cs="楷体"/>
          <w:szCs w:val="21"/>
        </w:rPr>
      </w:pPr>
      <w:r>
        <w:rPr>
          <w:rFonts w:hint="eastAsia" w:ascii="楷体" w:hAnsi="楷体" w:eastAsia="楷体" w:cs="楷体"/>
          <w:szCs w:val="21"/>
        </w:rPr>
        <w:t>（1）起始日期：年月日，完成日期：年月日。总日历天数：天。</w:t>
      </w:r>
    </w:p>
    <w:p w14:paraId="207C52A2">
      <w:pPr>
        <w:spacing w:line="360" w:lineRule="auto"/>
        <w:ind w:firstLine="420" w:firstLineChars="200"/>
        <w:rPr>
          <w:rFonts w:ascii="楷体" w:hAnsi="楷体" w:eastAsia="楷体" w:cs="楷体"/>
          <w:szCs w:val="21"/>
          <w:u w:val="single"/>
        </w:rPr>
      </w:pPr>
      <w:r>
        <w:rPr>
          <w:rFonts w:hint="eastAsia" w:ascii="楷体" w:hAnsi="楷体" w:eastAsia="楷体" w:cs="楷体"/>
          <w:szCs w:val="21"/>
        </w:rPr>
        <w:t>（2）地点：</w:t>
      </w:r>
    </w:p>
    <w:p w14:paraId="1443D378">
      <w:pPr>
        <w:spacing w:line="360" w:lineRule="auto"/>
        <w:ind w:firstLine="420" w:firstLineChars="200"/>
        <w:rPr>
          <w:rFonts w:ascii="楷体" w:hAnsi="楷体" w:eastAsia="楷体" w:cs="楷体"/>
          <w:szCs w:val="21"/>
        </w:rPr>
      </w:pPr>
      <w:r>
        <w:rPr>
          <w:rFonts w:hint="eastAsia" w:ascii="楷体" w:hAnsi="楷体" w:eastAsia="楷体" w:cs="楷体"/>
          <w:szCs w:val="21"/>
        </w:rPr>
        <w:t>（3）方式：</w:t>
      </w:r>
    </w:p>
    <w:p w14:paraId="7D4FF987">
      <w:pPr>
        <w:spacing w:line="360" w:lineRule="auto"/>
        <w:ind w:firstLine="422" w:firstLineChars="200"/>
        <w:outlineLvl w:val="2"/>
        <w:rPr>
          <w:rFonts w:ascii="楷体" w:hAnsi="楷体" w:eastAsia="楷体" w:cs="楷体"/>
          <w:b/>
          <w:bCs/>
          <w:szCs w:val="21"/>
        </w:rPr>
      </w:pPr>
      <w:bookmarkStart w:id="108" w:name="_Toc452"/>
      <w:bookmarkStart w:id="109" w:name="_Toc18583"/>
      <w:r>
        <w:rPr>
          <w:rFonts w:hint="eastAsia" w:ascii="楷体" w:hAnsi="楷体" w:eastAsia="楷体" w:cs="楷体"/>
          <w:b/>
          <w:bCs/>
          <w:szCs w:val="21"/>
        </w:rPr>
        <w:t>4.质量标准</w:t>
      </w:r>
      <w:bookmarkEnd w:id="108"/>
      <w:bookmarkEnd w:id="109"/>
    </w:p>
    <w:p w14:paraId="7841D70D">
      <w:pPr>
        <w:widowControl/>
        <w:spacing w:line="360" w:lineRule="auto"/>
        <w:ind w:firstLine="422" w:firstLineChars="200"/>
        <w:jc w:val="left"/>
        <w:rPr>
          <w:rFonts w:ascii="楷体" w:hAnsi="楷体" w:eastAsia="楷体" w:cs="楷体"/>
          <w:szCs w:val="21"/>
        </w:rPr>
      </w:pPr>
      <w:r>
        <w:rPr>
          <w:rFonts w:hint="eastAsia" w:ascii="楷体" w:hAnsi="楷体" w:eastAsia="楷体" w:cs="楷体"/>
          <w:b/>
          <w:szCs w:val="21"/>
        </w:rPr>
        <w:t>符合《工程施工质量验收规范》要求，工程质量标准为合格</w:t>
      </w:r>
      <w:r>
        <w:rPr>
          <w:rFonts w:hint="eastAsia" w:ascii="楷体" w:hAnsi="楷体" w:eastAsia="楷体" w:cs="楷体"/>
          <w:kern w:val="0"/>
          <w:szCs w:val="21"/>
        </w:rPr>
        <w:t xml:space="preserve">。 </w:t>
      </w:r>
    </w:p>
    <w:p w14:paraId="6320545E">
      <w:pPr>
        <w:widowControl/>
        <w:spacing w:line="360" w:lineRule="auto"/>
        <w:ind w:firstLine="422" w:firstLineChars="200"/>
        <w:jc w:val="left"/>
        <w:outlineLvl w:val="2"/>
        <w:rPr>
          <w:rFonts w:ascii="楷体" w:hAnsi="楷体" w:eastAsia="楷体" w:cs="楷体"/>
          <w:szCs w:val="21"/>
        </w:rPr>
      </w:pPr>
      <w:bookmarkStart w:id="110" w:name="_Toc10258"/>
      <w:bookmarkStart w:id="111" w:name="_Toc22663"/>
      <w:r>
        <w:rPr>
          <w:rFonts w:hint="eastAsia" w:ascii="楷体" w:hAnsi="楷体" w:eastAsia="楷体" w:cs="楷体"/>
          <w:b/>
          <w:bCs/>
          <w:szCs w:val="21"/>
        </w:rPr>
        <w:t>5.双方权利和义务</w:t>
      </w:r>
      <w:bookmarkEnd w:id="110"/>
      <w:bookmarkEnd w:id="111"/>
    </w:p>
    <w:p w14:paraId="6889D2D2">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（1）甲方： </w:t>
      </w:r>
    </w:p>
    <w:p w14:paraId="34ACD454">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1）甲方指派驻工地代表，负责协调甲乙双方相关事宜。在工程履行过程中指派代表的签名视为甲方行为。 </w:t>
      </w:r>
    </w:p>
    <w:p w14:paraId="2EEE4125">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2）有权对施工进度、质量、安全保护、综合管理进行监督，在施工期间如工程质量及安全等未达到要求，甲方有权要求乙方停工，乙方应积极配合整改，达到甲方要求方可复工，停工损失由乙方自负，工期不作顺延。 </w:t>
      </w:r>
    </w:p>
    <w:p w14:paraId="37ED6FF6">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3）负责对图纸、方案的审核确认。 </w:t>
      </w:r>
    </w:p>
    <w:p w14:paraId="766CE294">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4）负责对工程进度、工程质量、隐蔽工程、配套工程和合同执行情况进行监督检查。 </w:t>
      </w:r>
    </w:p>
    <w:p w14:paraId="708DC154">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5）负责对设计图纸变更、工程中验收和其他必要的签字确认。 </w:t>
      </w:r>
    </w:p>
    <w:p w14:paraId="03DFD3E5">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6）负责竣工验收工作，在收到乙方提交齐全的、符合要求的竣工资料后 10 日内组织验收。 </w:t>
      </w:r>
    </w:p>
    <w:p w14:paraId="0398C10A">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（2）乙方： </w:t>
      </w:r>
    </w:p>
    <w:p w14:paraId="21DF96B8">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1）乙方指派驻工地代表，负责协调甲乙双方相关事宜。在工程履行过程中指派代表的签名视为乙方行为。 </w:t>
      </w:r>
    </w:p>
    <w:p w14:paraId="2E107F8B">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2）严格按设计图纸施工，质量技术指标需符合工程的标准和要求。 </w:t>
      </w:r>
    </w:p>
    <w:p w14:paraId="13BE882A">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3）施工中发现问题及时向甲方报告并提出解决方案。 </w:t>
      </w:r>
    </w:p>
    <w:p w14:paraId="75588541">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4）编制施工组织方案、施工总进度计划、材料进场计划，及时报送甲方。 </w:t>
      </w:r>
    </w:p>
    <w:p w14:paraId="4F2DBC24">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5）提供竣工验收技术资料，并准备竣工技术图纸，办理工程竣工结算，参加竣工验收。竣工资料应符合甲方要求。 </w:t>
      </w:r>
    </w:p>
    <w:p w14:paraId="06AD3156">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6）组织有技术水平的施工队伍，明确现场技术及施工负责人、主要管理人员，技术人员不得随意变动。 </w:t>
      </w:r>
    </w:p>
    <w:p w14:paraId="0F553543">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7）乙方必须对施工现场及施工方法采取必要的安全措施，确保安全生产和文明施工，杜绝一切事故发生，一旦发生事故，由乙方承担全部责任，与甲方无关。 </w:t>
      </w:r>
    </w:p>
    <w:p w14:paraId="56A64027">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8）在合同实施过程中，由于乙方原因所发生的一切安全事故责任、经济责任和刑事责任，全部由乙方承担。 </w:t>
      </w:r>
    </w:p>
    <w:p w14:paraId="16779FD8">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9）本工程保修期内，属乙方责任的工程质量问题，由乙方在接到甲方通知后三日内无偿整修，否则，甲方有权委托他人整修，所有整修费由乙方承担。 </w:t>
      </w:r>
    </w:p>
    <w:p w14:paraId="68BA43F4">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10）编制施工程序，做好各项施工准备工作，及时向甲方汇报工程进度情况。 </w:t>
      </w:r>
    </w:p>
    <w:p w14:paraId="6B233DAA">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11）乙方应与其所聘请或雇佣的人员签订书面劳动合同或雇佣合同，并依法为其购买相关的保险，若发生纠纷应由乙方自行妥善解决，乙方不能自行妥善解决,</w:t>
      </w:r>
      <w:r>
        <w:rPr>
          <w:rFonts w:hint="eastAsia" w:ascii="楷体" w:hAnsi="楷体" w:eastAsia="楷体" w:cs="楷体"/>
          <w:kern w:val="0"/>
          <w:szCs w:val="21"/>
          <w:highlight w:val="none"/>
        </w:rPr>
        <w:t>而又需甲方调解及影响甲方</w:t>
      </w:r>
      <w:r>
        <w:rPr>
          <w:rFonts w:hint="eastAsia" w:ascii="楷体" w:hAnsi="楷体" w:eastAsia="楷体" w:cs="楷体"/>
          <w:kern w:val="0"/>
          <w:szCs w:val="21"/>
          <w:highlight w:val="none"/>
          <w:lang w:eastAsia="zh-CN"/>
        </w:rPr>
        <w:t>声</w:t>
      </w:r>
      <w:bookmarkStart w:id="209" w:name="_GoBack"/>
      <w:bookmarkEnd w:id="209"/>
      <w:r>
        <w:rPr>
          <w:rFonts w:hint="eastAsia" w:ascii="楷体" w:hAnsi="楷体" w:eastAsia="楷体" w:cs="楷体"/>
          <w:kern w:val="0"/>
          <w:szCs w:val="21"/>
          <w:highlight w:val="none"/>
        </w:rPr>
        <w:t>誉的，</w:t>
      </w:r>
      <w:r>
        <w:rPr>
          <w:rFonts w:hint="eastAsia" w:ascii="楷体" w:hAnsi="楷体" w:eastAsia="楷体" w:cs="楷体"/>
          <w:kern w:val="0"/>
          <w:szCs w:val="21"/>
        </w:rPr>
        <w:t xml:space="preserve">甲方有权按处理纠纷产生全部费用的双倍要求乙方赔偿。 </w:t>
      </w:r>
    </w:p>
    <w:p w14:paraId="3D4D5E89">
      <w:pPr>
        <w:spacing w:line="360" w:lineRule="auto"/>
        <w:ind w:firstLine="422" w:firstLineChars="200"/>
        <w:outlineLvl w:val="2"/>
        <w:rPr>
          <w:rFonts w:ascii="楷体" w:hAnsi="楷体" w:eastAsia="楷体" w:cs="楷体"/>
          <w:b/>
          <w:bCs/>
          <w:szCs w:val="21"/>
        </w:rPr>
      </w:pPr>
      <w:bookmarkStart w:id="112" w:name="_Toc13064"/>
      <w:bookmarkStart w:id="113" w:name="_Toc13151"/>
      <w:r>
        <w:rPr>
          <w:rFonts w:hint="eastAsia" w:ascii="楷体" w:hAnsi="楷体" w:eastAsia="楷体" w:cs="楷体"/>
          <w:b/>
          <w:bCs/>
          <w:szCs w:val="21"/>
        </w:rPr>
        <w:t>6.工程变更及计价方式</w:t>
      </w:r>
      <w:bookmarkEnd w:id="112"/>
      <w:bookmarkEnd w:id="113"/>
    </w:p>
    <w:p w14:paraId="62A6701F">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1）在项目实施中，如承包人发现原预算审核文件中出现漏项、错项或确需进行现场变更的，承包人应向发包人提供书面申请材料，内容包括：工程变更要求、工程变更说明、工程变更费用估算、工期及必要的附件等内容，报业主代表审核登记。业主代表在 2 天内对承包人申报的材料提出审核意见后报发包人审核。所有项目必须报发包人审核同意后才能执行。发包人的审核意见作为结算的依据。 </w:t>
      </w:r>
    </w:p>
    <w:p w14:paraId="3E7454DD">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2）对于变更及清单中漏项的工程量，按消耗量标准规定计算工程量，若本合同中有相同或相近的工作内容，其单价参照执行；若没有相同或相近的工作内容，其工程造价按湖南省现行相关定额法执行。材料价格按《湘西建筑管理》</w:t>
      </w:r>
      <w:r>
        <w:rPr>
          <w:rFonts w:hint="eastAsia" w:ascii="楷体" w:hAnsi="楷体" w:eastAsia="楷体" w:cs="楷体"/>
          <w:kern w:val="0"/>
          <w:szCs w:val="21"/>
          <w:highlight w:val="none"/>
          <w:lang w:eastAsia="zh-CN"/>
        </w:rPr>
        <w:t>最新一</w:t>
      </w:r>
      <w:r>
        <w:rPr>
          <w:rFonts w:hint="eastAsia" w:ascii="楷体" w:hAnsi="楷体" w:eastAsia="楷体" w:cs="楷体"/>
          <w:kern w:val="0"/>
          <w:szCs w:val="21"/>
          <w:highlight w:val="none"/>
        </w:rPr>
        <w:t>期</w:t>
      </w:r>
      <w:r>
        <w:rPr>
          <w:rFonts w:hint="eastAsia" w:ascii="楷体" w:hAnsi="楷体" w:eastAsia="楷体" w:cs="楷体"/>
          <w:kern w:val="0"/>
          <w:szCs w:val="21"/>
        </w:rPr>
        <w:t xml:space="preserve">及材料预算价执行，材料预算价中没有的材料价格，甲方、监理方及施工方三方共同询价确定。 </w:t>
      </w:r>
    </w:p>
    <w:p w14:paraId="57A3069A">
      <w:pPr>
        <w:spacing w:line="360" w:lineRule="auto"/>
        <w:ind w:firstLine="422" w:firstLineChars="200"/>
        <w:outlineLvl w:val="2"/>
        <w:rPr>
          <w:rFonts w:ascii="楷体" w:hAnsi="楷体" w:eastAsia="楷体" w:cs="楷体"/>
          <w:b/>
          <w:bCs/>
          <w:szCs w:val="21"/>
        </w:rPr>
      </w:pPr>
      <w:bookmarkStart w:id="114" w:name="_Toc29043"/>
      <w:bookmarkStart w:id="115" w:name="_Toc22988"/>
      <w:r>
        <w:rPr>
          <w:rFonts w:hint="eastAsia" w:ascii="楷体" w:hAnsi="楷体" w:eastAsia="楷体" w:cs="楷体"/>
          <w:b/>
          <w:bCs/>
          <w:szCs w:val="21"/>
        </w:rPr>
        <w:t>7.工程验收</w:t>
      </w:r>
      <w:bookmarkEnd w:id="114"/>
      <w:bookmarkEnd w:id="115"/>
    </w:p>
    <w:p w14:paraId="2F9B8E03">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乙方工程施工完成，具备竣工验收条件，必须按国家有关规定向甲方提供完整的竣工图纸、验收报告等相关竣工验收资料，甲方收到前述全部竣工验收资料日内按照国家相关规范组织各职能部门进行验收。完成日期以甲方验收合格后，竣工验收报告的时间为准。 </w:t>
      </w:r>
    </w:p>
    <w:p w14:paraId="1FFF2A71">
      <w:pPr>
        <w:widowControl/>
        <w:spacing w:line="360" w:lineRule="auto"/>
        <w:ind w:firstLine="422" w:firstLineChars="200"/>
        <w:jc w:val="left"/>
        <w:outlineLvl w:val="2"/>
        <w:rPr>
          <w:rFonts w:ascii="楷体" w:hAnsi="楷体" w:eastAsia="楷体" w:cs="楷体"/>
          <w:szCs w:val="21"/>
        </w:rPr>
      </w:pPr>
      <w:bookmarkStart w:id="116" w:name="_Toc19838"/>
      <w:bookmarkStart w:id="117" w:name="_Toc31960"/>
      <w:r>
        <w:rPr>
          <w:rFonts w:hint="eastAsia" w:ascii="楷体" w:hAnsi="楷体" w:eastAsia="楷体" w:cs="楷体"/>
          <w:b/>
          <w:bCs/>
          <w:kern w:val="0"/>
          <w:szCs w:val="21"/>
        </w:rPr>
        <w:t>8.工程款支付</w:t>
      </w:r>
      <w:bookmarkEnd w:id="116"/>
      <w:bookmarkEnd w:id="117"/>
    </w:p>
    <w:p w14:paraId="624AC639">
      <w:pPr>
        <w:spacing w:line="360" w:lineRule="auto"/>
        <w:ind w:firstLine="420" w:firstLineChars="200"/>
        <w:rPr>
          <w:rFonts w:ascii="楷体" w:hAnsi="楷体" w:eastAsia="楷体" w:cs="楷体"/>
          <w:szCs w:val="21"/>
        </w:rPr>
      </w:pPr>
      <w:r>
        <w:rPr>
          <w:rFonts w:hint="eastAsia" w:ascii="楷体" w:hAnsi="楷体" w:eastAsia="楷体" w:cs="楷体"/>
          <w:szCs w:val="21"/>
        </w:rPr>
        <w:t>（1）付款方式：按照甲乙双方合同约定执行  。</w:t>
      </w:r>
    </w:p>
    <w:p w14:paraId="4D9A4A9C">
      <w:pPr>
        <w:spacing w:line="360" w:lineRule="auto"/>
        <w:ind w:firstLine="420" w:firstLineChars="200"/>
        <w:rPr>
          <w:rFonts w:ascii="楷体" w:hAnsi="楷体" w:eastAsia="楷体" w:cs="楷体"/>
          <w:szCs w:val="21"/>
        </w:rPr>
      </w:pPr>
      <w:r>
        <w:rPr>
          <w:rFonts w:hint="eastAsia" w:ascii="楷体" w:hAnsi="楷体" w:eastAsia="楷体" w:cs="楷体"/>
          <w:szCs w:val="21"/>
        </w:rPr>
        <w:t>（2）付款单位：。</w:t>
      </w:r>
    </w:p>
    <w:p w14:paraId="5ADC2B6D">
      <w:pPr>
        <w:widowControl/>
        <w:spacing w:line="360" w:lineRule="auto"/>
        <w:ind w:firstLine="422" w:firstLineChars="200"/>
        <w:jc w:val="left"/>
        <w:outlineLvl w:val="2"/>
        <w:rPr>
          <w:rFonts w:ascii="楷体" w:hAnsi="楷体" w:eastAsia="楷体" w:cs="楷体"/>
          <w:b/>
          <w:bCs/>
          <w:kern w:val="0"/>
          <w:szCs w:val="21"/>
        </w:rPr>
      </w:pPr>
      <w:bookmarkStart w:id="118" w:name="_Toc5092"/>
      <w:bookmarkStart w:id="119" w:name="_Toc24369"/>
      <w:r>
        <w:rPr>
          <w:rFonts w:hint="eastAsia" w:ascii="楷体" w:hAnsi="楷体" w:eastAsia="楷体" w:cs="楷体"/>
          <w:b/>
          <w:bCs/>
          <w:kern w:val="0"/>
          <w:szCs w:val="21"/>
        </w:rPr>
        <w:t>9.不可抗力</w:t>
      </w:r>
      <w:bookmarkEnd w:id="118"/>
      <w:bookmarkEnd w:id="119"/>
    </w:p>
    <w:p w14:paraId="1826BCD6">
      <w:pPr>
        <w:widowControl/>
        <w:spacing w:line="360" w:lineRule="auto"/>
        <w:ind w:firstLine="420" w:firstLineChars="200"/>
        <w:jc w:val="left"/>
        <w:rPr>
          <w:rFonts w:hint="eastAsia" w:ascii="楷体" w:hAnsi="楷体" w:eastAsia="楷体" w:cs="楷体"/>
          <w:kern w:val="0"/>
          <w:szCs w:val="21"/>
        </w:rPr>
      </w:pPr>
      <w:r>
        <w:rPr>
          <w:rFonts w:hint="eastAsia" w:ascii="楷体" w:hAnsi="楷体" w:eastAsia="楷体" w:cs="楷体"/>
          <w:kern w:val="0"/>
          <w:szCs w:val="21"/>
        </w:rPr>
        <w:t>由于地震、台风、战争，以及其它不能预见，且对其发生和后果不能防止和避免的不可抗力事故，致使甲乙双方不能依合同履行其义务时，甲乙双方均不负赔偿责任。</w:t>
      </w:r>
    </w:p>
    <w:p w14:paraId="5C770A4A">
      <w:pPr>
        <w:widowControl/>
        <w:numPr>
          <w:ilvl w:val="0"/>
          <w:numId w:val="3"/>
        </w:numPr>
        <w:spacing w:line="360" w:lineRule="auto"/>
        <w:ind w:firstLine="422" w:firstLineChars="200"/>
        <w:jc w:val="left"/>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违约责任条款：</w:t>
      </w:r>
    </w:p>
    <w:p w14:paraId="2BD0CC66">
      <w:pPr>
        <w:widowControl/>
        <w:numPr>
          <w:ilvl w:val="0"/>
          <w:numId w:val="4"/>
        </w:numPr>
        <w:spacing w:line="360" w:lineRule="auto"/>
        <w:ind w:left="420" w:leftChars="0" w:firstLine="0" w:firstLineChars="0"/>
        <w:jc w:val="left"/>
        <w:rPr>
          <w:rFonts w:hint="eastAsia" w:ascii="楷体" w:hAnsi="楷体" w:eastAsia="楷体" w:cs="楷体"/>
          <w:kern w:val="0"/>
          <w:szCs w:val="21"/>
          <w:lang w:val="en-US" w:eastAsia="zh-CN"/>
        </w:rPr>
      </w:pPr>
      <w:r>
        <w:rPr>
          <w:rFonts w:hint="eastAsia" w:ascii="楷体" w:hAnsi="楷体" w:eastAsia="楷体" w:cs="楷体"/>
          <w:kern w:val="0"/>
          <w:szCs w:val="21"/>
          <w:lang w:val="en-US" w:eastAsia="zh-CN"/>
        </w:rPr>
        <w:t>甲方无正当理由，不与成交供应商签订施工合同，对供应商所造成的损失由甲方承担；</w:t>
      </w:r>
    </w:p>
    <w:p w14:paraId="557119F1">
      <w:pPr>
        <w:widowControl/>
        <w:numPr>
          <w:ilvl w:val="0"/>
          <w:numId w:val="4"/>
        </w:numPr>
        <w:spacing w:line="360" w:lineRule="auto"/>
        <w:ind w:left="420" w:leftChars="0" w:firstLine="0" w:firstLineChars="0"/>
        <w:jc w:val="left"/>
        <w:rPr>
          <w:rFonts w:hint="default" w:ascii="楷体" w:hAnsi="楷体" w:eastAsia="楷体" w:cs="楷体"/>
          <w:kern w:val="0"/>
          <w:szCs w:val="21"/>
          <w:lang w:val="en-US" w:eastAsia="zh-CN"/>
        </w:rPr>
      </w:pPr>
      <w:r>
        <w:rPr>
          <w:rFonts w:hint="eastAsia" w:ascii="楷体" w:hAnsi="楷体" w:eastAsia="楷体" w:cs="楷体"/>
          <w:kern w:val="0"/>
          <w:szCs w:val="21"/>
          <w:lang w:val="en-US" w:eastAsia="zh-CN"/>
        </w:rPr>
        <w:t>成交供应商无正当理由，不与甲方签订施工合同，对甲方所造成的损失由成交供应商承担；</w:t>
      </w:r>
    </w:p>
    <w:p w14:paraId="303E8E33">
      <w:pPr>
        <w:widowControl/>
        <w:numPr>
          <w:ilvl w:val="0"/>
          <w:numId w:val="4"/>
        </w:numPr>
        <w:spacing w:line="360" w:lineRule="auto"/>
        <w:ind w:left="420" w:leftChars="0" w:firstLine="0" w:firstLineChars="0"/>
        <w:jc w:val="left"/>
        <w:rPr>
          <w:rFonts w:hint="default" w:ascii="楷体" w:hAnsi="楷体" w:eastAsia="楷体" w:cs="楷体"/>
          <w:kern w:val="0"/>
          <w:szCs w:val="21"/>
          <w:lang w:val="en-US" w:eastAsia="zh-CN"/>
        </w:rPr>
      </w:pPr>
      <w:r>
        <w:rPr>
          <w:rFonts w:hint="eastAsia" w:ascii="楷体" w:hAnsi="楷体" w:eastAsia="楷体" w:cs="楷体"/>
          <w:kern w:val="0"/>
          <w:szCs w:val="21"/>
          <w:lang w:val="en-US" w:eastAsia="zh-CN"/>
        </w:rPr>
        <w:t>其余违约责任条款由甲乙双方自行协商约定。</w:t>
      </w:r>
    </w:p>
    <w:p w14:paraId="5835B333">
      <w:pPr>
        <w:spacing w:line="360" w:lineRule="auto"/>
        <w:ind w:firstLine="422" w:firstLineChars="200"/>
        <w:outlineLvl w:val="2"/>
        <w:rPr>
          <w:rFonts w:ascii="楷体" w:hAnsi="楷体" w:eastAsia="楷体" w:cs="楷体"/>
          <w:szCs w:val="21"/>
        </w:rPr>
      </w:pPr>
      <w:bookmarkStart w:id="120" w:name="_Toc27229"/>
      <w:bookmarkStart w:id="121" w:name="_Toc4043"/>
      <w:r>
        <w:rPr>
          <w:rFonts w:hint="eastAsia" w:ascii="楷体" w:hAnsi="楷体" w:eastAsia="楷体" w:cs="楷体"/>
          <w:b/>
          <w:bCs/>
          <w:szCs w:val="21"/>
        </w:rPr>
        <w:t>1</w:t>
      </w:r>
      <w:r>
        <w:rPr>
          <w:rFonts w:hint="eastAsia" w:ascii="楷体" w:hAnsi="楷体" w:eastAsia="楷体" w:cs="楷体"/>
          <w:b/>
          <w:bCs/>
          <w:szCs w:val="21"/>
          <w:lang w:val="en-US" w:eastAsia="zh-CN"/>
        </w:rPr>
        <w:t>1</w:t>
      </w:r>
      <w:r>
        <w:rPr>
          <w:rFonts w:hint="eastAsia" w:ascii="楷体" w:hAnsi="楷体" w:eastAsia="楷体" w:cs="楷体"/>
          <w:b/>
          <w:bCs/>
          <w:szCs w:val="21"/>
        </w:rPr>
        <w:t>.解决合同纠纷方式</w:t>
      </w:r>
      <w:bookmarkEnd w:id="120"/>
      <w:bookmarkEnd w:id="121"/>
    </w:p>
    <w:p w14:paraId="775BB13B">
      <w:pPr>
        <w:adjustRightInd w:val="0"/>
        <w:snapToGrid w:val="0"/>
        <w:spacing w:line="360" w:lineRule="auto"/>
        <w:ind w:firstLine="420" w:firstLineChars="200"/>
        <w:rPr>
          <w:rFonts w:ascii="楷体" w:hAnsi="楷体" w:eastAsia="楷体" w:cs="楷体"/>
          <w:szCs w:val="21"/>
        </w:rPr>
      </w:pPr>
      <w:r>
        <w:rPr>
          <w:rFonts w:hint="eastAsia" w:ascii="楷体" w:hAnsi="楷体" w:eastAsia="楷体" w:cs="楷体"/>
          <w:szCs w:val="21"/>
        </w:rPr>
        <w:t>首先通过双方协商解决，协商解决不成，则通过以下途径之一解决纠纷：</w:t>
      </w:r>
    </w:p>
    <w:p w14:paraId="235208F6">
      <w:pPr>
        <w:adjustRightInd w:val="0"/>
        <w:snapToGrid w:val="0"/>
        <w:spacing w:line="360" w:lineRule="auto"/>
        <w:ind w:firstLine="840" w:firstLineChars="400"/>
        <w:rPr>
          <w:rFonts w:ascii="楷体" w:hAnsi="楷体" w:eastAsia="楷体" w:cs="楷体"/>
          <w:szCs w:val="21"/>
        </w:rPr>
      </w:pPr>
      <w:r>
        <w:rPr>
          <w:rFonts w:hint="eastAsia" w:ascii="楷体" w:hAnsi="楷体" w:eastAsia="楷体" w:cs="楷体"/>
          <w:szCs w:val="21"/>
        </w:rPr>
        <w:sym w:font="Wingdings 2" w:char="00A3"/>
      </w:r>
      <w:r>
        <w:rPr>
          <w:rFonts w:hint="eastAsia" w:ascii="楷体" w:hAnsi="楷体" w:eastAsia="楷体" w:cs="楷体"/>
          <w:szCs w:val="21"/>
        </w:rPr>
        <w:t xml:space="preserve"> 提请仲裁       </w:t>
      </w:r>
      <w:r>
        <w:rPr>
          <w:rFonts w:hint="eastAsia" w:ascii="楷体" w:hAnsi="楷体" w:eastAsia="楷体" w:cs="楷体"/>
          <w:szCs w:val="21"/>
        </w:rPr>
        <w:sym w:font="Wingdings 2" w:char="00A3"/>
      </w:r>
      <w:r>
        <w:rPr>
          <w:rFonts w:hint="eastAsia" w:ascii="楷体" w:hAnsi="楷体" w:eastAsia="楷体" w:cs="楷体"/>
          <w:szCs w:val="21"/>
        </w:rPr>
        <w:t xml:space="preserve"> 向项目所在地人民法院提起诉讼</w:t>
      </w:r>
    </w:p>
    <w:p w14:paraId="554110B6">
      <w:pPr>
        <w:spacing w:line="360" w:lineRule="auto"/>
        <w:ind w:firstLine="422" w:firstLineChars="200"/>
        <w:outlineLvl w:val="2"/>
        <w:rPr>
          <w:rFonts w:ascii="楷体" w:hAnsi="楷体" w:eastAsia="楷体" w:cs="楷体"/>
          <w:b/>
          <w:bCs/>
          <w:szCs w:val="21"/>
        </w:rPr>
      </w:pPr>
      <w:bookmarkStart w:id="122" w:name="_Toc21184"/>
      <w:bookmarkStart w:id="123" w:name="_Toc13346"/>
      <w:r>
        <w:rPr>
          <w:rFonts w:hint="eastAsia" w:ascii="楷体" w:hAnsi="楷体" w:eastAsia="楷体" w:cs="楷体"/>
          <w:b/>
          <w:bCs/>
          <w:szCs w:val="21"/>
        </w:rPr>
        <w:t>1</w:t>
      </w:r>
      <w:r>
        <w:rPr>
          <w:rFonts w:hint="eastAsia" w:ascii="楷体" w:hAnsi="楷体" w:eastAsia="楷体" w:cs="楷体"/>
          <w:b/>
          <w:bCs/>
          <w:szCs w:val="21"/>
          <w:lang w:val="en-US" w:eastAsia="zh-CN"/>
        </w:rPr>
        <w:t>2</w:t>
      </w:r>
      <w:r>
        <w:rPr>
          <w:rFonts w:hint="eastAsia" w:ascii="楷体" w:hAnsi="楷体" w:eastAsia="楷体" w:cs="楷体"/>
          <w:b/>
          <w:bCs/>
          <w:szCs w:val="21"/>
        </w:rPr>
        <w:t>.组成合同的文件</w:t>
      </w:r>
      <w:bookmarkEnd w:id="122"/>
      <w:bookmarkEnd w:id="123"/>
    </w:p>
    <w:p w14:paraId="6CC20F8D">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本协议书与下列文件一起构成合同文件，如下述文件之间有任何抵触、矛盾或歧义，应按以下顺序解释： </w:t>
      </w:r>
    </w:p>
    <w:p w14:paraId="33150637">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（1）在采购或合同履行过程中乙方作出的承诺以及双方协商达成的变更或补充协议 </w:t>
      </w:r>
    </w:p>
    <w:p w14:paraId="6FBF4759">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（2）成交通知书 </w:t>
      </w:r>
    </w:p>
    <w:p w14:paraId="4DAB6938">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（3）响应文件 </w:t>
      </w:r>
    </w:p>
    <w:p w14:paraId="49E26818">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（4）政府采购合同格式条款及其附件 </w:t>
      </w:r>
    </w:p>
    <w:p w14:paraId="70E1DF80">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（5）专用合同条款 </w:t>
      </w:r>
    </w:p>
    <w:p w14:paraId="08116385">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（6）通用合同条款（如果有） </w:t>
      </w:r>
    </w:p>
    <w:p w14:paraId="16CC5731">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（7）标准、规范及有关技术文件，图纸，已标价工程量清单或预算书（如果有） </w:t>
      </w:r>
    </w:p>
    <w:p w14:paraId="1B9E0936">
      <w:pPr>
        <w:widowControl/>
        <w:spacing w:line="360" w:lineRule="auto"/>
        <w:ind w:firstLine="420" w:firstLineChars="200"/>
        <w:jc w:val="left"/>
        <w:rPr>
          <w:rFonts w:ascii="楷体" w:hAnsi="楷体" w:eastAsia="楷体" w:cs="楷体"/>
          <w:kern w:val="0"/>
          <w:szCs w:val="21"/>
        </w:rPr>
      </w:pPr>
      <w:r>
        <w:rPr>
          <w:rFonts w:hint="eastAsia" w:ascii="楷体" w:hAnsi="楷体" w:eastAsia="楷体" w:cs="楷体"/>
          <w:kern w:val="0"/>
          <w:szCs w:val="21"/>
        </w:rPr>
        <w:t>（8）竞争性磋商文件</w:t>
      </w:r>
    </w:p>
    <w:p w14:paraId="632E8D16">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 xml:space="preserve">（9）其他合同文件。 </w:t>
      </w:r>
    </w:p>
    <w:p w14:paraId="5276C7EB">
      <w:pPr>
        <w:spacing w:line="360" w:lineRule="auto"/>
        <w:ind w:firstLine="422" w:firstLineChars="200"/>
        <w:outlineLvl w:val="2"/>
        <w:rPr>
          <w:rFonts w:ascii="楷体" w:hAnsi="楷体" w:eastAsia="楷体" w:cs="楷体"/>
          <w:b/>
          <w:bCs/>
          <w:szCs w:val="21"/>
        </w:rPr>
      </w:pPr>
      <w:bookmarkStart w:id="124" w:name="_Toc20263"/>
      <w:bookmarkStart w:id="125" w:name="_Toc14874"/>
      <w:r>
        <w:rPr>
          <w:rFonts w:hint="eastAsia" w:ascii="楷体" w:hAnsi="楷体" w:eastAsia="楷体" w:cs="楷体"/>
          <w:b/>
          <w:bCs/>
          <w:szCs w:val="21"/>
        </w:rPr>
        <w:t>1</w:t>
      </w:r>
      <w:r>
        <w:rPr>
          <w:rFonts w:hint="eastAsia" w:ascii="楷体" w:hAnsi="楷体" w:eastAsia="楷体" w:cs="楷体"/>
          <w:b/>
          <w:bCs/>
          <w:szCs w:val="21"/>
          <w:lang w:val="en-US" w:eastAsia="zh-CN"/>
        </w:rPr>
        <w:t>3</w:t>
      </w:r>
      <w:r>
        <w:rPr>
          <w:rFonts w:hint="eastAsia" w:ascii="楷体" w:hAnsi="楷体" w:eastAsia="楷体" w:cs="楷体"/>
          <w:b/>
          <w:bCs/>
          <w:szCs w:val="21"/>
        </w:rPr>
        <w:t>.合同生效</w:t>
      </w:r>
      <w:bookmarkEnd w:id="124"/>
      <w:bookmarkEnd w:id="125"/>
    </w:p>
    <w:p w14:paraId="56262CE7">
      <w:pPr>
        <w:spacing w:line="360" w:lineRule="auto"/>
        <w:ind w:firstLine="420" w:firstLineChars="200"/>
        <w:rPr>
          <w:rFonts w:ascii="楷体" w:hAnsi="楷体" w:eastAsia="楷体" w:cs="楷体"/>
          <w:szCs w:val="21"/>
        </w:rPr>
      </w:pPr>
      <w:r>
        <w:rPr>
          <w:rFonts w:hint="eastAsia" w:ascii="楷体" w:hAnsi="楷体" w:eastAsia="楷体" w:cs="楷体"/>
          <w:szCs w:val="21"/>
        </w:rPr>
        <w:t>本合同自生效。</w:t>
      </w:r>
    </w:p>
    <w:p w14:paraId="569D8F0C">
      <w:pPr>
        <w:spacing w:line="360" w:lineRule="auto"/>
        <w:ind w:firstLine="422" w:firstLineChars="200"/>
        <w:outlineLvl w:val="2"/>
        <w:rPr>
          <w:rFonts w:ascii="楷体" w:hAnsi="楷体" w:eastAsia="楷体" w:cs="楷体"/>
          <w:b/>
          <w:bCs/>
          <w:szCs w:val="21"/>
        </w:rPr>
      </w:pPr>
      <w:bookmarkStart w:id="126" w:name="_Toc9863"/>
      <w:bookmarkStart w:id="127" w:name="_Toc14028"/>
      <w:r>
        <w:rPr>
          <w:rFonts w:hint="eastAsia" w:ascii="楷体" w:hAnsi="楷体" w:eastAsia="楷体" w:cs="楷体"/>
          <w:b/>
          <w:bCs/>
          <w:szCs w:val="21"/>
        </w:rPr>
        <w:t>1</w:t>
      </w:r>
      <w:r>
        <w:rPr>
          <w:rFonts w:hint="eastAsia" w:ascii="楷体" w:hAnsi="楷体" w:eastAsia="楷体" w:cs="楷体"/>
          <w:b/>
          <w:bCs/>
          <w:szCs w:val="21"/>
          <w:lang w:val="en-US" w:eastAsia="zh-CN"/>
        </w:rPr>
        <w:t>4</w:t>
      </w:r>
      <w:r>
        <w:rPr>
          <w:rFonts w:hint="eastAsia" w:ascii="楷体" w:hAnsi="楷体" w:eastAsia="楷体" w:cs="楷体"/>
          <w:b/>
          <w:bCs/>
          <w:szCs w:val="21"/>
        </w:rPr>
        <w:t>.合同份数</w:t>
      </w:r>
      <w:bookmarkEnd w:id="126"/>
      <w:bookmarkEnd w:id="127"/>
    </w:p>
    <w:p w14:paraId="787BBC14">
      <w:pPr>
        <w:widowControl/>
        <w:spacing w:line="360" w:lineRule="auto"/>
        <w:ind w:firstLine="420" w:firstLineChars="200"/>
        <w:jc w:val="left"/>
        <w:rPr>
          <w:rFonts w:ascii="楷体" w:hAnsi="楷体" w:eastAsia="楷体" w:cs="楷体"/>
          <w:szCs w:val="21"/>
        </w:rPr>
      </w:pPr>
      <w:r>
        <w:rPr>
          <w:rFonts w:hint="eastAsia" w:ascii="楷体" w:hAnsi="楷体" w:eastAsia="楷体" w:cs="楷体"/>
          <w:kern w:val="0"/>
          <w:szCs w:val="21"/>
        </w:rPr>
        <w:t>本合同一式份，甲方执份、乙方执份、政府采购监管部门</w:t>
      </w:r>
      <w:r>
        <w:rPr>
          <w:rFonts w:hint="eastAsia" w:ascii="楷体" w:hAnsi="楷体" w:eastAsia="楷体" w:cs="楷体"/>
          <w:kern w:val="0"/>
          <w:szCs w:val="21"/>
          <w:u w:val="single"/>
        </w:rPr>
        <w:t xml:space="preserve"> 壹 </w:t>
      </w:r>
      <w:r>
        <w:rPr>
          <w:rFonts w:hint="eastAsia" w:ascii="楷体" w:hAnsi="楷体" w:eastAsia="楷体" w:cs="楷体"/>
          <w:kern w:val="0"/>
          <w:szCs w:val="21"/>
        </w:rPr>
        <w:t>份、采购代理机构</w:t>
      </w:r>
      <w:r>
        <w:rPr>
          <w:rFonts w:hint="eastAsia" w:ascii="楷体" w:hAnsi="楷体" w:eastAsia="楷体" w:cs="楷体"/>
          <w:kern w:val="0"/>
          <w:szCs w:val="21"/>
          <w:u w:val="single"/>
        </w:rPr>
        <w:t xml:space="preserve"> 壹 </w:t>
      </w:r>
      <w:r>
        <w:rPr>
          <w:rFonts w:hint="eastAsia" w:ascii="楷体" w:hAnsi="楷体" w:eastAsia="楷体" w:cs="楷体"/>
          <w:kern w:val="0"/>
          <w:szCs w:val="21"/>
        </w:rPr>
        <w:t xml:space="preserve">份，均具有同等法律效力。 </w:t>
      </w:r>
    </w:p>
    <w:p w14:paraId="5F40B9F0">
      <w:pPr>
        <w:spacing w:line="420" w:lineRule="exact"/>
        <w:ind w:firstLine="420" w:firstLineChars="200"/>
        <w:rPr>
          <w:rFonts w:ascii="楷体" w:hAnsi="楷体" w:eastAsia="楷体" w:cs="楷体"/>
          <w:szCs w:val="21"/>
        </w:rPr>
      </w:pPr>
    </w:p>
    <w:p w14:paraId="4331FFA0">
      <w:pPr>
        <w:spacing w:line="420" w:lineRule="exact"/>
        <w:ind w:firstLine="420" w:firstLineChars="200"/>
        <w:rPr>
          <w:rFonts w:ascii="楷体" w:hAnsi="楷体" w:eastAsia="楷体" w:cs="楷体"/>
          <w:szCs w:val="21"/>
        </w:rPr>
      </w:pPr>
    </w:p>
    <w:p w14:paraId="030675FC">
      <w:pPr>
        <w:spacing w:line="420" w:lineRule="exact"/>
        <w:ind w:firstLine="420" w:firstLineChars="200"/>
        <w:rPr>
          <w:rFonts w:ascii="楷体" w:hAnsi="楷体" w:eastAsia="楷体" w:cs="楷体"/>
          <w:szCs w:val="21"/>
        </w:rPr>
      </w:pPr>
      <w:r>
        <w:rPr>
          <w:rFonts w:hint="eastAsia" w:ascii="楷体" w:hAnsi="楷体" w:eastAsia="楷体" w:cs="楷体"/>
          <w:szCs w:val="21"/>
        </w:rPr>
        <w:t>合同订立时间：年月日</w:t>
      </w:r>
    </w:p>
    <w:p w14:paraId="270BDB40">
      <w:pPr>
        <w:spacing w:line="420" w:lineRule="exact"/>
        <w:ind w:firstLine="420" w:firstLineChars="200"/>
        <w:rPr>
          <w:rFonts w:ascii="楷体" w:hAnsi="楷体" w:eastAsia="楷体" w:cs="楷体"/>
          <w:szCs w:val="21"/>
        </w:rPr>
      </w:pPr>
      <w:r>
        <w:rPr>
          <w:rFonts w:hint="eastAsia" w:ascii="楷体" w:hAnsi="楷体" w:eastAsia="楷体" w:cs="楷体"/>
          <w:szCs w:val="21"/>
        </w:rPr>
        <w:t>合同订立地点：</w:t>
      </w:r>
    </w:p>
    <w:p w14:paraId="74A87F19">
      <w:pPr>
        <w:spacing w:line="360" w:lineRule="auto"/>
        <w:ind w:firstLine="420" w:firstLineChars="200"/>
        <w:rPr>
          <w:rFonts w:ascii="楷体" w:hAnsi="楷体" w:eastAsia="楷体" w:cs="楷体"/>
          <w:szCs w:val="21"/>
        </w:rPr>
      </w:pPr>
    </w:p>
    <w:p w14:paraId="76A08223">
      <w:pPr>
        <w:spacing w:line="420" w:lineRule="exact"/>
        <w:ind w:firstLine="420" w:firstLineChars="200"/>
        <w:rPr>
          <w:rFonts w:ascii="楷体" w:hAnsi="楷体" w:eastAsia="楷体" w:cs="楷体"/>
          <w:szCs w:val="21"/>
        </w:rPr>
      </w:pPr>
      <w:r>
        <w:rPr>
          <w:rFonts w:hint="eastAsia" w:ascii="楷体" w:hAnsi="楷体" w:eastAsia="楷体" w:cs="楷体"/>
          <w:szCs w:val="21"/>
        </w:rPr>
        <w:t>甲      方：（公章）                     乙      方：（公章）</w:t>
      </w:r>
    </w:p>
    <w:p w14:paraId="588B8FCA">
      <w:pPr>
        <w:spacing w:line="420" w:lineRule="exact"/>
        <w:ind w:firstLine="420" w:firstLineChars="200"/>
        <w:rPr>
          <w:rFonts w:ascii="楷体" w:hAnsi="楷体" w:eastAsia="楷体" w:cs="楷体"/>
          <w:szCs w:val="21"/>
        </w:rPr>
      </w:pPr>
      <w:r>
        <w:rPr>
          <w:rFonts w:hint="eastAsia" w:ascii="楷体" w:hAnsi="楷体" w:eastAsia="楷体" w:cs="楷体"/>
          <w:szCs w:val="21"/>
        </w:rPr>
        <w:t>法定代表人：             法定代表人：</w:t>
      </w:r>
    </w:p>
    <w:p w14:paraId="583C49D1">
      <w:pPr>
        <w:spacing w:line="420" w:lineRule="exact"/>
        <w:ind w:firstLine="420" w:firstLineChars="200"/>
        <w:rPr>
          <w:rFonts w:ascii="楷体" w:hAnsi="楷体" w:eastAsia="楷体" w:cs="楷体"/>
          <w:szCs w:val="21"/>
        </w:rPr>
      </w:pPr>
      <w:r>
        <w:rPr>
          <w:rFonts w:hint="eastAsia" w:ascii="楷体" w:hAnsi="楷体" w:eastAsia="楷体" w:cs="楷体"/>
          <w:szCs w:val="21"/>
        </w:rPr>
        <w:t>委托代理人：             委托代理人：</w:t>
      </w:r>
    </w:p>
    <w:p w14:paraId="646DB563">
      <w:pPr>
        <w:spacing w:line="420" w:lineRule="exact"/>
        <w:ind w:firstLine="420" w:firstLineChars="200"/>
        <w:rPr>
          <w:rFonts w:ascii="楷体" w:hAnsi="楷体" w:eastAsia="楷体" w:cs="楷体"/>
          <w:szCs w:val="21"/>
        </w:rPr>
      </w:pPr>
      <w:r>
        <w:rPr>
          <w:rFonts w:hint="eastAsia" w:ascii="楷体" w:hAnsi="楷体" w:eastAsia="楷体" w:cs="楷体"/>
          <w:szCs w:val="21"/>
        </w:rPr>
        <w:t>电      话：             电      话：</w:t>
      </w:r>
    </w:p>
    <w:p w14:paraId="2AE3953C">
      <w:pPr>
        <w:spacing w:line="420" w:lineRule="exact"/>
        <w:ind w:firstLine="420" w:firstLineChars="200"/>
        <w:rPr>
          <w:rFonts w:ascii="楷体" w:hAnsi="楷体" w:eastAsia="楷体" w:cs="楷体"/>
          <w:szCs w:val="21"/>
        </w:rPr>
      </w:pPr>
      <w:r>
        <w:rPr>
          <w:rFonts w:hint="eastAsia" w:ascii="楷体" w:hAnsi="楷体" w:eastAsia="楷体" w:cs="楷体"/>
          <w:szCs w:val="21"/>
        </w:rPr>
        <w:t>传      真：             传      真：</w:t>
      </w:r>
    </w:p>
    <w:p w14:paraId="327FA5AE">
      <w:pPr>
        <w:spacing w:line="420" w:lineRule="exact"/>
        <w:ind w:firstLine="420" w:firstLineChars="200"/>
        <w:rPr>
          <w:rFonts w:ascii="楷体" w:hAnsi="楷体" w:eastAsia="楷体" w:cs="楷体"/>
          <w:szCs w:val="21"/>
        </w:rPr>
      </w:pPr>
      <w:r>
        <w:rPr>
          <w:rFonts w:hint="eastAsia" w:ascii="楷体" w:hAnsi="楷体" w:eastAsia="楷体" w:cs="楷体"/>
          <w:szCs w:val="21"/>
        </w:rPr>
        <w:t xml:space="preserve">                                        开 户 银 行：</w:t>
      </w:r>
    </w:p>
    <w:p w14:paraId="1487B0AF">
      <w:pPr>
        <w:spacing w:line="420" w:lineRule="exact"/>
        <w:ind w:firstLine="420" w:firstLineChars="200"/>
        <w:rPr>
          <w:rFonts w:ascii="楷体" w:hAnsi="楷体" w:eastAsia="楷体" w:cs="楷体"/>
          <w:szCs w:val="21"/>
        </w:rPr>
      </w:pPr>
      <w:r>
        <w:rPr>
          <w:rFonts w:hint="eastAsia" w:ascii="楷体" w:hAnsi="楷体" w:eastAsia="楷体" w:cs="楷体"/>
          <w:szCs w:val="21"/>
        </w:rPr>
        <w:t xml:space="preserve">                                        帐       号：</w:t>
      </w:r>
    </w:p>
    <w:p w14:paraId="072F0A4C">
      <w:pPr>
        <w:rPr>
          <w:rFonts w:ascii="楷体" w:hAnsi="楷体" w:eastAsia="楷体" w:cs="楷体"/>
          <w:szCs w:val="21"/>
        </w:rPr>
      </w:pPr>
    </w:p>
    <w:p w14:paraId="6C8889BA">
      <w:pPr>
        <w:pStyle w:val="11"/>
        <w:rPr>
          <w:rFonts w:ascii="楷体" w:hAnsi="楷体" w:eastAsia="楷体" w:cs="楷体"/>
        </w:rPr>
      </w:pPr>
    </w:p>
    <w:p w14:paraId="71889F30">
      <w:pPr>
        <w:pStyle w:val="41"/>
        <w:rPr>
          <w:rFonts w:ascii="楷体" w:hAnsi="楷体" w:eastAsia="楷体" w:cs="楷体"/>
          <w:color w:val="auto"/>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526A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174" w:type="dxa"/>
            <w:vAlign w:val="center"/>
          </w:tcPr>
          <w:p w14:paraId="2752521F">
            <w:pPr>
              <w:spacing w:line="360" w:lineRule="auto"/>
              <w:rPr>
                <w:rFonts w:ascii="楷体" w:hAnsi="楷体" w:eastAsia="楷体" w:cs="楷体"/>
                <w:szCs w:val="21"/>
              </w:rPr>
            </w:pPr>
            <w:r>
              <w:rPr>
                <w:rFonts w:hint="eastAsia" w:ascii="楷体" w:hAnsi="楷体" w:eastAsia="楷体" w:cs="楷体"/>
                <w:b/>
                <w:bCs/>
                <w:szCs w:val="21"/>
              </w:rPr>
              <w:t>注：本合同草案条款仅作为双方签订合同的参考，为阐明各方的权利和义务，经协商可根据项目实际情况进行必要的修改和调整。但不得与磋商文件、响应文件的实质性内容相背离。</w:t>
            </w:r>
          </w:p>
        </w:tc>
      </w:tr>
    </w:tbl>
    <w:p w14:paraId="331444C2">
      <w:pPr>
        <w:rPr>
          <w:rFonts w:ascii="楷体" w:hAnsi="楷体" w:eastAsia="楷体" w:cs="楷体"/>
          <w:szCs w:val="21"/>
        </w:rPr>
      </w:pPr>
    </w:p>
    <w:p w14:paraId="0F1A17BC">
      <w:pPr>
        <w:spacing w:line="360" w:lineRule="auto"/>
        <w:ind w:firstLine="420" w:firstLineChars="200"/>
        <w:rPr>
          <w:rFonts w:ascii="楷体" w:hAnsi="楷体" w:eastAsia="楷体" w:cs="楷体"/>
          <w:szCs w:val="21"/>
        </w:rPr>
      </w:pPr>
      <w:r>
        <w:rPr>
          <w:rFonts w:hint="eastAsia" w:ascii="楷体" w:hAnsi="楷体" w:eastAsia="楷体" w:cs="楷体"/>
          <w:szCs w:val="21"/>
        </w:rPr>
        <w:br w:type="page"/>
      </w:r>
    </w:p>
    <w:p w14:paraId="689BF6DD">
      <w:pPr>
        <w:pStyle w:val="3"/>
        <w:jc w:val="center"/>
        <w:rPr>
          <w:rFonts w:ascii="楷体" w:hAnsi="楷体" w:eastAsia="楷体" w:cs="楷体"/>
          <w:sz w:val="30"/>
          <w:szCs w:val="30"/>
        </w:rPr>
      </w:pPr>
      <w:bookmarkStart w:id="128" w:name="_Toc8930"/>
      <w:bookmarkStart w:id="129" w:name="_Toc13002"/>
      <w:bookmarkStart w:id="130" w:name="_Toc18702"/>
      <w:bookmarkStart w:id="131" w:name="_Toc1107"/>
      <w:bookmarkStart w:id="132" w:name="_Toc24158"/>
      <w:bookmarkStart w:id="133" w:name="_Toc21038"/>
      <w:r>
        <w:rPr>
          <w:rFonts w:hint="eastAsia" w:ascii="楷体" w:hAnsi="楷体" w:eastAsia="楷体" w:cs="楷体"/>
          <w:sz w:val="30"/>
          <w:szCs w:val="30"/>
        </w:rPr>
        <w:t>第二节 政府采购合同通用条款</w:t>
      </w:r>
      <w:bookmarkEnd w:id="128"/>
      <w:bookmarkEnd w:id="129"/>
      <w:bookmarkEnd w:id="130"/>
      <w:bookmarkEnd w:id="131"/>
    </w:p>
    <w:p w14:paraId="40135A57">
      <w:pPr>
        <w:spacing w:line="360" w:lineRule="auto"/>
        <w:ind w:firstLine="420" w:firstLineChars="200"/>
        <w:rPr>
          <w:rFonts w:ascii="楷体" w:hAnsi="楷体" w:eastAsia="楷体" w:cs="楷体"/>
          <w:szCs w:val="21"/>
        </w:rPr>
      </w:pPr>
      <w:r>
        <w:rPr>
          <w:rFonts w:hint="eastAsia" w:ascii="楷体" w:hAnsi="楷体" w:eastAsia="楷体" w:cs="楷体"/>
          <w:bCs/>
          <w:szCs w:val="21"/>
        </w:rPr>
        <w:t>政府采购工程类合同通用条款参照《建设工程施工合同（示范文本）》（GF-2017-0201）的“通用合同条款”拟定</w:t>
      </w:r>
      <w:r>
        <w:rPr>
          <w:rFonts w:hint="eastAsia" w:ascii="楷体" w:hAnsi="楷体" w:eastAsia="楷体" w:cs="楷体"/>
          <w:szCs w:val="21"/>
        </w:rPr>
        <w:t>。</w:t>
      </w:r>
    </w:p>
    <w:p w14:paraId="6381D047">
      <w:pPr>
        <w:rPr>
          <w:rFonts w:ascii="楷体" w:hAnsi="楷体" w:eastAsia="楷体" w:cs="楷体"/>
          <w:sz w:val="36"/>
          <w:szCs w:val="36"/>
        </w:rPr>
      </w:pPr>
    </w:p>
    <w:p w14:paraId="12EA7E35">
      <w:pPr>
        <w:rPr>
          <w:rFonts w:ascii="楷体" w:hAnsi="楷体" w:eastAsia="楷体" w:cs="楷体"/>
        </w:rPr>
      </w:pPr>
      <w:bookmarkStart w:id="134" w:name="_Toc9308"/>
    </w:p>
    <w:p w14:paraId="670FFBC6">
      <w:pPr>
        <w:pStyle w:val="47"/>
        <w:rPr>
          <w:rFonts w:ascii="楷体" w:hAnsi="楷体" w:eastAsia="楷体" w:cs="楷体"/>
        </w:rPr>
      </w:pPr>
    </w:p>
    <w:p w14:paraId="0A1070B4">
      <w:pPr>
        <w:pStyle w:val="47"/>
        <w:rPr>
          <w:rFonts w:ascii="楷体" w:hAnsi="楷体" w:eastAsia="楷体" w:cs="楷体"/>
        </w:rPr>
      </w:pPr>
    </w:p>
    <w:p w14:paraId="7A5F6D06">
      <w:pPr>
        <w:pStyle w:val="3"/>
        <w:jc w:val="center"/>
        <w:rPr>
          <w:rFonts w:ascii="楷体" w:hAnsi="楷体" w:eastAsia="楷体" w:cs="楷体"/>
          <w:sz w:val="30"/>
          <w:szCs w:val="30"/>
        </w:rPr>
      </w:pPr>
      <w:bookmarkStart w:id="135" w:name="_Toc29642"/>
      <w:bookmarkStart w:id="136" w:name="_Toc4121"/>
      <w:bookmarkStart w:id="137" w:name="_Toc5209"/>
      <w:r>
        <w:rPr>
          <w:rFonts w:hint="eastAsia" w:ascii="楷体" w:hAnsi="楷体" w:eastAsia="楷体" w:cs="楷体"/>
          <w:sz w:val="30"/>
          <w:szCs w:val="30"/>
        </w:rPr>
        <w:t>第三节 政府采购合同专用条款</w:t>
      </w:r>
      <w:bookmarkEnd w:id="134"/>
      <w:bookmarkEnd w:id="135"/>
      <w:bookmarkEnd w:id="136"/>
      <w:bookmarkEnd w:id="137"/>
    </w:p>
    <w:p w14:paraId="58F35BAE">
      <w:pPr>
        <w:spacing w:line="360" w:lineRule="auto"/>
        <w:ind w:firstLine="420" w:firstLineChars="200"/>
        <w:rPr>
          <w:rFonts w:ascii="楷体" w:hAnsi="楷体" w:eastAsia="楷体" w:cs="楷体"/>
          <w:bCs/>
          <w:szCs w:val="21"/>
        </w:rPr>
      </w:pPr>
      <w:r>
        <w:rPr>
          <w:rFonts w:hint="eastAsia" w:ascii="楷体" w:hAnsi="楷体" w:eastAsia="楷体" w:cs="楷体"/>
          <w:bCs/>
          <w:szCs w:val="21"/>
        </w:rPr>
        <w:t>政府采购工程类合同专用条款参照《建设工程施工合同（示范文本）》（GF-2017-0201）的“专用合同条款”拟定。</w:t>
      </w:r>
    </w:p>
    <w:bookmarkEnd w:id="132"/>
    <w:bookmarkEnd w:id="133"/>
    <w:p w14:paraId="6361549D">
      <w:pPr>
        <w:rPr>
          <w:rFonts w:ascii="楷体" w:hAnsi="楷体" w:eastAsia="楷体" w:cs="楷体"/>
        </w:rPr>
      </w:pPr>
    </w:p>
    <w:p w14:paraId="4DDE80AE">
      <w:pPr>
        <w:rPr>
          <w:rFonts w:ascii="仿宋" w:hAnsi="仿宋" w:eastAsia="仿宋" w:cs="仿宋"/>
          <w:b/>
          <w:bCs/>
          <w:spacing w:val="-11"/>
          <w:sz w:val="31"/>
          <w:szCs w:val="31"/>
        </w:rPr>
      </w:pPr>
      <w:r>
        <w:rPr>
          <w:rFonts w:hint="eastAsia" w:ascii="楷体" w:hAnsi="楷体" w:eastAsia="楷体" w:cs="楷体"/>
          <w:b/>
          <w:bCs/>
          <w:sz w:val="32"/>
          <w:szCs w:val="32"/>
        </w:rPr>
        <w:br w:type="page"/>
      </w:r>
    </w:p>
    <w:bookmarkEnd w:id="90"/>
    <w:bookmarkEnd w:id="91"/>
    <w:bookmarkEnd w:id="92"/>
    <w:p w14:paraId="7E4AF7B4">
      <w:pPr>
        <w:pStyle w:val="2"/>
        <w:numPr>
          <w:ilvl w:val="0"/>
          <w:numId w:val="5"/>
        </w:numPr>
        <w:jc w:val="center"/>
        <w:rPr>
          <w:rFonts w:hint="eastAsia" w:ascii="仿宋" w:hAnsi="仿宋" w:eastAsia="仿宋" w:cs="仿宋"/>
          <w:b/>
          <w:color w:val="auto"/>
          <w:sz w:val="32"/>
          <w:szCs w:val="32"/>
          <w:highlight w:val="none"/>
        </w:rPr>
      </w:pPr>
      <w:bookmarkStart w:id="138" w:name="_Toc22794"/>
      <w:bookmarkStart w:id="139" w:name="_Toc26487"/>
      <w:bookmarkStart w:id="140" w:name="_Toc2819"/>
      <w:bookmarkStart w:id="141" w:name="_Toc9442"/>
      <w:r>
        <w:rPr>
          <w:rFonts w:hint="eastAsia" w:ascii="仿宋" w:hAnsi="仿宋" w:eastAsia="仿宋" w:cs="仿宋"/>
          <w:b/>
          <w:color w:val="auto"/>
          <w:sz w:val="32"/>
          <w:szCs w:val="32"/>
          <w:highlight w:val="none"/>
        </w:rPr>
        <w:t>采购需求</w:t>
      </w:r>
      <w:bookmarkEnd w:id="138"/>
      <w:bookmarkStart w:id="142" w:name="_Toc6933"/>
      <w:bookmarkStart w:id="143" w:name="_Toc8080"/>
    </w:p>
    <w:p w14:paraId="0AF349D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144" w:name="_Toc26749"/>
      <w:bookmarkStart w:id="145" w:name="_Toc23010"/>
      <w:bookmarkStart w:id="146" w:name="_Toc18564"/>
      <w:bookmarkStart w:id="147" w:name="_Toc5261"/>
      <w:r>
        <w:rPr>
          <w:rFonts w:hint="eastAsia" w:asciiTheme="minorEastAsia" w:hAnsiTheme="minorEastAsia" w:eastAsiaTheme="minorEastAsia" w:cstheme="minorEastAsia"/>
          <w:b/>
          <w:color w:val="auto"/>
          <w:sz w:val="21"/>
          <w:szCs w:val="21"/>
          <w:highlight w:val="none"/>
        </w:rPr>
        <w:t>一、</w:t>
      </w:r>
      <w:r>
        <w:rPr>
          <w:rFonts w:hint="eastAsia" w:asciiTheme="minorEastAsia" w:hAnsiTheme="minorEastAsia" w:eastAsiaTheme="minorEastAsia" w:cstheme="minorEastAsia"/>
          <w:b/>
          <w:color w:val="auto"/>
          <w:sz w:val="21"/>
          <w:szCs w:val="21"/>
          <w:highlight w:val="none"/>
          <w:lang w:val="en-US" w:eastAsia="zh-CN"/>
        </w:rPr>
        <w:t>工程</w:t>
      </w:r>
      <w:r>
        <w:rPr>
          <w:rFonts w:hint="eastAsia" w:asciiTheme="minorEastAsia" w:hAnsiTheme="minorEastAsia" w:eastAsiaTheme="minorEastAsia" w:cstheme="minorEastAsia"/>
          <w:b/>
          <w:color w:val="auto"/>
          <w:sz w:val="21"/>
          <w:szCs w:val="21"/>
          <w:highlight w:val="none"/>
        </w:rPr>
        <w:t>概况</w:t>
      </w:r>
      <w:bookmarkEnd w:id="144"/>
      <w:bookmarkEnd w:id="145"/>
      <w:bookmarkEnd w:id="146"/>
    </w:p>
    <w:p w14:paraId="239DA2A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u w:val="thick"/>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val="en-US" w:eastAsia="zh-CN"/>
        </w:rPr>
        <w:t>工程</w:t>
      </w:r>
      <w:r>
        <w:rPr>
          <w:rFonts w:hint="eastAsia" w:asciiTheme="minorEastAsia" w:hAnsiTheme="minorEastAsia" w:eastAsiaTheme="minorEastAsia" w:cstheme="minorEastAsia"/>
          <w:b w:val="0"/>
          <w:bCs/>
          <w:color w:val="auto"/>
          <w:sz w:val="21"/>
          <w:szCs w:val="21"/>
          <w:highlight w:val="none"/>
        </w:rPr>
        <w:t>名称：</w:t>
      </w:r>
      <w:r>
        <w:rPr>
          <w:rFonts w:hint="eastAsia" w:asciiTheme="minorEastAsia" w:hAnsiTheme="minorEastAsia" w:cstheme="minorEastAsia"/>
          <w:b w:val="0"/>
          <w:bCs/>
          <w:color w:val="auto"/>
          <w:sz w:val="21"/>
          <w:szCs w:val="21"/>
          <w:highlight w:val="none"/>
          <w:lang w:val="en-US" w:eastAsia="zh-CN"/>
        </w:rPr>
        <w:t>湘西湘谷粮油发展有限公司绿色储粮（保温气密性）改造工程</w:t>
      </w:r>
    </w:p>
    <w:p w14:paraId="17BA57C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rPr>
        <w:t>2、</w:t>
      </w:r>
      <w:r>
        <w:rPr>
          <w:rFonts w:hint="eastAsia" w:asciiTheme="minorEastAsia" w:hAnsiTheme="minorEastAsia" w:eastAsiaTheme="minorEastAsia" w:cstheme="minorEastAsia"/>
          <w:b w:val="0"/>
          <w:bCs/>
          <w:color w:val="auto"/>
          <w:sz w:val="21"/>
          <w:szCs w:val="21"/>
          <w:highlight w:val="none"/>
          <w:u w:val="none"/>
          <w:lang w:val="en-US" w:eastAsia="zh-CN"/>
        </w:rPr>
        <w:t>最高投标限价：</w:t>
      </w:r>
      <w:r>
        <w:rPr>
          <w:rFonts w:hint="eastAsia" w:asciiTheme="minorEastAsia" w:hAnsiTheme="minorEastAsia" w:cstheme="minorEastAsia"/>
          <w:b w:val="0"/>
          <w:bCs/>
          <w:color w:val="auto"/>
          <w:sz w:val="21"/>
          <w:szCs w:val="21"/>
          <w:highlight w:val="none"/>
          <w:u w:val="none"/>
          <w:lang w:val="en-US" w:eastAsia="zh-CN"/>
        </w:rPr>
        <w:t>2899981.94</w:t>
      </w:r>
      <w:r>
        <w:rPr>
          <w:rFonts w:hint="eastAsia" w:asciiTheme="minorEastAsia" w:hAnsi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元</w:t>
      </w:r>
      <w:r>
        <w:rPr>
          <w:rFonts w:hint="eastAsia" w:asciiTheme="minorEastAsia" w:hAnsiTheme="minorEastAsia" w:eastAsiaTheme="minorEastAsia" w:cstheme="minorEastAsia"/>
          <w:b w:val="0"/>
          <w:bCs/>
          <w:color w:val="auto"/>
          <w:sz w:val="21"/>
          <w:szCs w:val="21"/>
          <w:highlight w:val="none"/>
          <w:u w:val="none"/>
          <w:lang w:val="en-US" w:eastAsia="zh-CN"/>
        </w:rPr>
        <w:t xml:space="preserve"> </w:t>
      </w:r>
    </w:p>
    <w:p w14:paraId="66C83B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148" w:name="_Toc21288"/>
      <w:r>
        <w:rPr>
          <w:rFonts w:hint="eastAsia" w:asciiTheme="minorEastAsia" w:hAnsiTheme="minorEastAsia" w:eastAsiaTheme="minorEastAsia" w:cstheme="minorEastAsia"/>
          <w:b w:val="0"/>
          <w:bCs/>
          <w:color w:val="auto"/>
          <w:sz w:val="21"/>
          <w:szCs w:val="21"/>
          <w:highlight w:val="none"/>
          <w:u w:val="none"/>
        </w:rPr>
        <w:t>3、建设</w:t>
      </w:r>
      <w:r>
        <w:rPr>
          <w:rFonts w:hint="eastAsia" w:asciiTheme="minorEastAsia" w:hAnsiTheme="minorEastAsia" w:eastAsiaTheme="minorEastAsia" w:cstheme="minorEastAsia"/>
          <w:b w:val="0"/>
          <w:bCs/>
          <w:color w:val="auto"/>
          <w:sz w:val="21"/>
          <w:szCs w:val="21"/>
          <w:highlight w:val="none"/>
          <w:u w:val="none"/>
          <w:lang w:eastAsia="zh-CN"/>
        </w:rPr>
        <w:t>地点</w:t>
      </w:r>
      <w:r>
        <w:rPr>
          <w:rFonts w:hint="eastAsia" w:asciiTheme="minorEastAsia" w:hAnsiTheme="minorEastAsia" w:eastAsiaTheme="minorEastAsia" w:cstheme="minorEastAsia"/>
          <w:b w:val="0"/>
          <w:bCs/>
          <w:color w:val="auto"/>
          <w:sz w:val="21"/>
          <w:szCs w:val="21"/>
          <w:highlight w:val="none"/>
          <w:u w:val="none"/>
        </w:rPr>
        <w:t>：</w:t>
      </w:r>
      <w:bookmarkEnd w:id="148"/>
      <w:bookmarkStart w:id="149" w:name="_Toc11332"/>
      <w:bookmarkStart w:id="150" w:name="_Toc17014"/>
      <w:r>
        <w:rPr>
          <w:rFonts w:hint="eastAsia" w:asciiTheme="minorEastAsia" w:hAnsiTheme="minorEastAsia" w:eastAsiaTheme="minorEastAsia" w:cstheme="minorEastAsia"/>
          <w:b w:val="0"/>
          <w:bCs/>
          <w:color w:val="auto"/>
          <w:sz w:val="21"/>
          <w:szCs w:val="21"/>
          <w:highlight w:val="none"/>
          <w:lang w:val="en-US" w:eastAsia="zh-CN"/>
        </w:rPr>
        <w:t>湘西湘谷粮油发展有限公司内</w:t>
      </w:r>
    </w:p>
    <w:p w14:paraId="7722C63E">
      <w:pPr>
        <w:pStyle w:val="11"/>
        <w:rPr>
          <w:rFonts w:hint="default"/>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 xml:space="preserve">    4、主要内容包括：保温轻质砌块墙</w:t>
      </w:r>
      <w:r>
        <w:rPr>
          <w:rFonts w:hint="eastAsia" w:asciiTheme="minorEastAsia" w:hAnsiTheme="minorEastAsia" w:cstheme="minorEastAsia"/>
          <w:b w:val="0"/>
          <w:bCs/>
          <w:color w:val="auto"/>
          <w:sz w:val="21"/>
          <w:szCs w:val="21"/>
          <w:highlight w:val="none"/>
          <w:lang w:val="en-US" w:eastAsia="zh-CN"/>
        </w:rPr>
        <w:t>、墙面喷刷涂料、屋面卷材防水施工</w:t>
      </w:r>
      <w:r>
        <w:rPr>
          <w:rFonts w:hint="eastAsia" w:asciiTheme="minorEastAsia" w:hAnsiTheme="minorEastAsia" w:eastAsiaTheme="minorEastAsia" w:cstheme="minorEastAsia"/>
          <w:b w:val="0"/>
          <w:bCs/>
          <w:color w:val="auto"/>
          <w:sz w:val="21"/>
          <w:szCs w:val="21"/>
          <w:highlight w:val="none"/>
          <w:lang w:val="en-US" w:eastAsia="zh-CN"/>
        </w:rPr>
        <w:t>等。具体见工程量清单。</w:t>
      </w:r>
    </w:p>
    <w:p w14:paraId="39E1EA7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51" w:name="_Toc26562"/>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color w:val="auto"/>
          <w:sz w:val="21"/>
          <w:szCs w:val="21"/>
          <w:highlight w:val="none"/>
          <w:lang w:val="en-US" w:eastAsia="zh-CN"/>
        </w:rPr>
        <w:t>工程</w:t>
      </w:r>
      <w:r>
        <w:rPr>
          <w:rFonts w:hint="eastAsia" w:asciiTheme="minorEastAsia" w:hAnsiTheme="minorEastAsia" w:eastAsiaTheme="minorEastAsia" w:cstheme="minorEastAsia"/>
          <w:b/>
          <w:color w:val="auto"/>
          <w:sz w:val="21"/>
          <w:szCs w:val="21"/>
          <w:highlight w:val="none"/>
        </w:rPr>
        <w:t>实施要求</w:t>
      </w:r>
      <w:bookmarkEnd w:id="149"/>
      <w:bookmarkEnd w:id="150"/>
      <w:r>
        <w:rPr>
          <w:rFonts w:hint="eastAsia" w:asciiTheme="minorEastAsia" w:hAnsiTheme="minorEastAsia" w:eastAsiaTheme="minorEastAsia" w:cstheme="minorEastAsia"/>
          <w:b/>
          <w:color w:val="auto"/>
          <w:sz w:val="21"/>
          <w:szCs w:val="21"/>
          <w:highlight w:val="none"/>
          <w:lang w:val="en-US" w:eastAsia="zh-CN"/>
        </w:rPr>
        <w:t>（含材料运输保管保险、施工要求、验收要求、质量保证等）</w:t>
      </w:r>
      <w:bookmarkEnd w:id="151"/>
    </w:p>
    <w:p w14:paraId="06FB75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b w:val="0"/>
          <w:bCs/>
          <w:color w:val="auto"/>
          <w:sz w:val="21"/>
          <w:szCs w:val="21"/>
          <w:highlight w:val="red"/>
          <w:u w:val="none"/>
          <w:lang w:val="en-US"/>
        </w:rPr>
      </w:pPr>
      <w:r>
        <w:rPr>
          <w:rFonts w:hint="eastAsia" w:asciiTheme="minorEastAsia" w:hAnsiTheme="minorEastAsia" w:eastAsiaTheme="minorEastAsia" w:cstheme="minorEastAsia"/>
          <w:b w:val="0"/>
          <w:bCs/>
          <w:color w:val="auto"/>
          <w:sz w:val="21"/>
          <w:szCs w:val="21"/>
          <w:highlight w:val="none"/>
          <w:u w:val="none"/>
        </w:rPr>
        <w:t>1、工期要求：</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cstheme="minorEastAsia"/>
          <w:color w:val="auto"/>
          <w:sz w:val="21"/>
          <w:szCs w:val="21"/>
          <w:highlight w:val="none"/>
          <w:u w:val="none"/>
          <w:lang w:val="en-US" w:eastAsia="zh-CN"/>
        </w:rPr>
        <w:t>合同签订后6个月完成。</w:t>
      </w:r>
    </w:p>
    <w:p w14:paraId="18A44AD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2、质量要求：符合现行国家有关工程施工验收规范，达到合格工程标准</w:t>
      </w:r>
      <w:r>
        <w:rPr>
          <w:rFonts w:hint="eastAsia" w:asciiTheme="minorEastAsia" w:hAnsiTheme="minorEastAsia" w:eastAsiaTheme="minorEastAsia" w:cstheme="minorEastAsia"/>
          <w:b w:val="0"/>
          <w:bCs/>
          <w:color w:val="auto"/>
          <w:sz w:val="21"/>
          <w:szCs w:val="21"/>
          <w:highlight w:val="none"/>
          <w:u w:val="none"/>
          <w:lang w:eastAsia="zh-CN"/>
        </w:rPr>
        <w:t>。</w:t>
      </w:r>
    </w:p>
    <w:p w14:paraId="2609CD0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u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u w:val="none"/>
          <w:lang w:val="en-US" w:eastAsia="zh-CN"/>
          <w14:textFill>
            <w14:solidFill>
              <w14:schemeClr w14:val="tx1"/>
            </w14:solidFill>
          </w14:textFill>
        </w:rPr>
        <w:t>保修要求：</w:t>
      </w:r>
      <w:r>
        <w:rPr>
          <w:rFonts w:hint="eastAsia" w:asciiTheme="minorEastAsia" w:hAnsiTheme="minorEastAsia" w:eastAsiaTheme="minorEastAsia" w:cstheme="minorEastAsia"/>
          <w:color w:val="auto"/>
          <w:sz w:val="21"/>
          <w:szCs w:val="21"/>
          <w:highlight w:val="none"/>
          <w:u w:val="none"/>
          <w:lang w:val="en-US" w:eastAsia="zh-CN"/>
        </w:rPr>
        <w:t>按建设部[2000]年80号令和国务院[2000]279号令及合同要求保修；</w:t>
      </w:r>
    </w:p>
    <w:p w14:paraId="568D194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rPr>
        <w:t>4、施工技术要求：</w:t>
      </w:r>
      <w:r>
        <w:rPr>
          <w:rFonts w:hint="eastAsia" w:asciiTheme="minorEastAsia" w:hAnsiTheme="minorEastAsia" w:eastAsiaTheme="minorEastAsia" w:cstheme="minorEastAsia"/>
          <w:b w:val="0"/>
          <w:bCs/>
          <w:color w:val="auto"/>
          <w:sz w:val="21"/>
          <w:szCs w:val="21"/>
          <w:highlight w:val="none"/>
          <w:u w:val="none"/>
          <w:lang w:val="en-US" w:eastAsia="zh-CN"/>
        </w:rPr>
        <w:t>满足规范及相关要求。</w:t>
      </w:r>
    </w:p>
    <w:p w14:paraId="0AEFF37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rPr>
        <w:t>5、安全生产要求：</w:t>
      </w:r>
    </w:p>
    <w:p w14:paraId="42D45D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5.1中标人须加强施工的组织管理，所有施工人员须遵守文明安全施工的有关规章制度，持证上岗。</w:t>
      </w:r>
    </w:p>
    <w:p w14:paraId="2E46182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5.2不发生任何安全生产事故，中标人</w:t>
      </w:r>
      <w:r>
        <w:rPr>
          <w:rFonts w:hint="eastAsia" w:asciiTheme="minorEastAsia" w:hAnsiTheme="minorEastAsia" w:eastAsiaTheme="minorEastAsia" w:cstheme="minorEastAsia"/>
          <w:b w:val="0"/>
          <w:bCs/>
          <w:color w:val="auto"/>
          <w:sz w:val="21"/>
          <w:szCs w:val="21"/>
          <w:highlight w:val="none"/>
          <w:u w:val="none"/>
        </w:rPr>
        <w:t>负责其派出的施工人员的人身意外保险</w:t>
      </w:r>
      <w:r>
        <w:rPr>
          <w:rFonts w:hint="eastAsia" w:asciiTheme="minorEastAsia" w:hAnsiTheme="minorEastAsia" w:eastAsiaTheme="minorEastAsia" w:cstheme="minorEastAsia"/>
          <w:b w:val="0"/>
          <w:bCs/>
          <w:color w:val="auto"/>
          <w:sz w:val="21"/>
          <w:szCs w:val="21"/>
          <w:highlight w:val="none"/>
          <w:u w:val="none"/>
          <w:lang w:val="en-US" w:eastAsia="zh-CN"/>
        </w:rPr>
        <w:t>。</w:t>
      </w:r>
    </w:p>
    <w:p w14:paraId="2BDF5760">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lang w:eastAsia="zh-CN"/>
        </w:rPr>
      </w:pPr>
      <w:r>
        <w:rPr>
          <w:rFonts w:hint="eastAsia" w:asciiTheme="minorEastAsia" w:hAnsiTheme="minorEastAsia" w:eastAsiaTheme="minorEastAsia" w:cstheme="minorEastAsia"/>
          <w:b w:val="0"/>
          <w:bCs/>
          <w:color w:val="auto"/>
          <w:sz w:val="21"/>
          <w:szCs w:val="21"/>
          <w:highlight w:val="none"/>
          <w:u w:val="none"/>
        </w:rPr>
        <w:t>建筑材料运输、保管及保险</w:t>
      </w:r>
      <w:r>
        <w:rPr>
          <w:rFonts w:hint="eastAsia" w:asciiTheme="minorEastAsia" w:hAnsiTheme="minorEastAsia" w:eastAsiaTheme="minorEastAsia" w:cstheme="minorEastAsia"/>
          <w:b w:val="0"/>
          <w:bCs/>
          <w:color w:val="auto"/>
          <w:sz w:val="21"/>
          <w:szCs w:val="21"/>
          <w:highlight w:val="none"/>
          <w:u w:val="none"/>
          <w:lang w:eastAsia="zh-CN"/>
        </w:rPr>
        <w:t>：</w:t>
      </w:r>
    </w:p>
    <w:p w14:paraId="1D3DB23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6.1中标人负责建筑材料到施工地点的全部运输，包括装卸及现场搬运等。</w:t>
      </w:r>
    </w:p>
    <w:p w14:paraId="16FE8FF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6.2中标人负责建筑材料在施工地点的保管，直至项目验收合格。</w:t>
      </w:r>
    </w:p>
    <w:p w14:paraId="15C273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lang w:val="en-US" w:eastAsia="zh-CN"/>
        </w:rPr>
        <w:t>7、</w:t>
      </w:r>
      <w:r>
        <w:rPr>
          <w:rFonts w:hint="eastAsia" w:asciiTheme="minorEastAsia" w:hAnsiTheme="minorEastAsia" w:eastAsiaTheme="minorEastAsia" w:cstheme="minorEastAsia"/>
          <w:b w:val="0"/>
          <w:bCs/>
          <w:color w:val="auto"/>
          <w:sz w:val="21"/>
          <w:szCs w:val="21"/>
          <w:highlight w:val="none"/>
          <w:u w:val="none"/>
        </w:rPr>
        <w:t>施工期间，应接受</w:t>
      </w:r>
      <w:r>
        <w:rPr>
          <w:rFonts w:hint="eastAsia" w:asciiTheme="minorEastAsia" w:hAnsiTheme="minorEastAsia" w:cstheme="minorEastAsia"/>
          <w:b w:val="0"/>
          <w:bCs/>
          <w:color w:val="auto"/>
          <w:sz w:val="21"/>
          <w:szCs w:val="21"/>
          <w:highlight w:val="none"/>
          <w:u w:val="none"/>
          <w:lang w:val="en-US" w:eastAsia="zh-CN"/>
        </w:rPr>
        <w:t>采购人</w:t>
      </w:r>
      <w:r>
        <w:rPr>
          <w:rFonts w:hint="eastAsia" w:asciiTheme="minorEastAsia" w:hAnsiTheme="minorEastAsia" w:eastAsiaTheme="minorEastAsia" w:cstheme="minorEastAsia"/>
          <w:b w:val="0"/>
          <w:bCs/>
          <w:color w:val="auto"/>
          <w:sz w:val="21"/>
          <w:szCs w:val="21"/>
          <w:highlight w:val="none"/>
          <w:u w:val="none"/>
        </w:rPr>
        <w:t>及监理工程师</w:t>
      </w:r>
      <w:r>
        <w:rPr>
          <w:rFonts w:hint="eastAsia" w:asciiTheme="minorEastAsia" w:hAnsiTheme="minorEastAsia" w:eastAsiaTheme="minorEastAsia" w:cstheme="minorEastAsia"/>
          <w:b w:val="0"/>
          <w:bCs/>
          <w:color w:val="auto"/>
          <w:sz w:val="21"/>
          <w:szCs w:val="21"/>
          <w:highlight w:val="none"/>
          <w:u w:val="none"/>
          <w:lang w:eastAsia="zh-CN"/>
        </w:rPr>
        <w:t>（</w:t>
      </w:r>
      <w:r>
        <w:rPr>
          <w:rFonts w:hint="eastAsia" w:asciiTheme="minorEastAsia" w:hAnsiTheme="minorEastAsia" w:eastAsiaTheme="minorEastAsia" w:cstheme="minorEastAsia"/>
          <w:b w:val="0"/>
          <w:bCs/>
          <w:color w:val="auto"/>
          <w:sz w:val="21"/>
          <w:szCs w:val="21"/>
          <w:highlight w:val="none"/>
          <w:u w:val="none"/>
          <w:lang w:val="en-US" w:eastAsia="zh-CN"/>
        </w:rPr>
        <w:t>如有）</w:t>
      </w:r>
      <w:r>
        <w:rPr>
          <w:rFonts w:hint="eastAsia" w:asciiTheme="minorEastAsia" w:hAnsiTheme="minorEastAsia" w:eastAsiaTheme="minorEastAsia" w:cstheme="minorEastAsia"/>
          <w:b w:val="0"/>
          <w:bCs/>
          <w:color w:val="auto"/>
          <w:sz w:val="21"/>
          <w:szCs w:val="21"/>
          <w:highlight w:val="none"/>
          <w:u w:val="none"/>
        </w:rPr>
        <w:t>的监督管理，遵守有关规定。</w:t>
      </w:r>
    </w:p>
    <w:p w14:paraId="642360D2">
      <w:pPr>
        <w:keepNext w:val="0"/>
        <w:keepLines w:val="0"/>
        <w:pageBreakBefore w:val="0"/>
        <w:widowControl w:val="0"/>
        <w:kinsoku/>
        <w:wordWrap/>
        <w:overflowPunct/>
        <w:topLinePunct w:val="0"/>
        <w:bidi w:val="0"/>
        <w:adjustRightInd/>
        <w:snapToGrid w:val="0"/>
        <w:spacing w:line="360" w:lineRule="auto"/>
        <w:ind w:right="23" w:firstLine="420"/>
        <w:textAlignment w:val="auto"/>
        <w:outlineLvl w:val="9"/>
        <w:rPr>
          <w:rFonts w:hint="eastAsia" w:asciiTheme="minorEastAsia" w:hAnsiTheme="minorEastAsia" w:eastAsiaTheme="minorEastAsia" w:cstheme="minorEastAsia"/>
          <w:b w:val="0"/>
          <w:bCs/>
          <w:color w:val="auto"/>
          <w:sz w:val="21"/>
          <w:szCs w:val="21"/>
          <w:highlight w:val="none"/>
          <w:u w:val="none"/>
        </w:rPr>
      </w:pPr>
      <w:r>
        <w:rPr>
          <w:rFonts w:hint="eastAsia" w:asciiTheme="minorEastAsia" w:hAnsiTheme="minorEastAsia" w:eastAsiaTheme="minorEastAsia" w:cstheme="minorEastAsia"/>
          <w:b w:val="0"/>
          <w:bCs/>
          <w:color w:val="auto"/>
          <w:sz w:val="21"/>
          <w:szCs w:val="21"/>
          <w:highlight w:val="none"/>
          <w:u w:val="none"/>
          <w:lang w:val="en-US" w:eastAsia="zh-CN"/>
        </w:rPr>
        <w:t>8、质量保证</w:t>
      </w:r>
      <w:r>
        <w:rPr>
          <w:rFonts w:hint="eastAsia" w:asciiTheme="minorEastAsia" w:hAnsiTheme="minorEastAsia" w:eastAsiaTheme="minorEastAsia" w:cstheme="minorEastAsia"/>
          <w:b w:val="0"/>
          <w:bCs/>
          <w:color w:val="auto"/>
          <w:sz w:val="21"/>
          <w:szCs w:val="21"/>
          <w:highlight w:val="none"/>
          <w:u w:val="none"/>
        </w:rPr>
        <w:t>：</w:t>
      </w:r>
    </w:p>
    <w:p w14:paraId="15A5B1E1">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8.1 中标人提供的产品应是原装正品，符合国家质量检测标准，具有出厂合格证或国家鉴定合格证；</w:t>
      </w:r>
    </w:p>
    <w:p w14:paraId="0501587F">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8.2 所有材料（含所需相关辅材）需经</w:t>
      </w:r>
      <w:r>
        <w:rPr>
          <w:rFonts w:hint="eastAsia" w:asciiTheme="minorEastAsia" w:hAnsiTheme="minorEastAsia" w:cstheme="minorEastAsia"/>
          <w:b w:val="0"/>
          <w:bCs/>
          <w:sz w:val="21"/>
          <w:szCs w:val="21"/>
          <w:highlight w:val="none"/>
          <w:lang w:val="en-US" w:eastAsia="zh-CN"/>
        </w:rPr>
        <w:t>采购人</w:t>
      </w:r>
      <w:r>
        <w:rPr>
          <w:rFonts w:hint="eastAsia" w:asciiTheme="minorEastAsia" w:hAnsiTheme="minorEastAsia" w:eastAsiaTheme="minorEastAsia" w:cstheme="minorEastAsia"/>
          <w:b w:val="0"/>
          <w:bCs/>
          <w:sz w:val="21"/>
          <w:szCs w:val="21"/>
          <w:highlight w:val="none"/>
          <w:lang w:val="en-US" w:eastAsia="zh-CN"/>
        </w:rPr>
        <w:t>核实无误后方可进场施工安装；</w:t>
      </w:r>
    </w:p>
    <w:p w14:paraId="356322DE">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8.3 工程施工质量必须</w:t>
      </w:r>
      <w:r>
        <w:rPr>
          <w:rFonts w:hint="eastAsia" w:asciiTheme="minorEastAsia" w:hAnsiTheme="minorEastAsia" w:eastAsiaTheme="minorEastAsia" w:cstheme="minorEastAsia"/>
          <w:b w:val="0"/>
          <w:bCs/>
          <w:color w:val="auto"/>
          <w:sz w:val="21"/>
          <w:szCs w:val="21"/>
          <w:highlight w:val="none"/>
          <w:u w:val="none"/>
          <w:lang w:val="en-US" w:eastAsia="zh-CN"/>
        </w:rPr>
        <w:t>满足验收合格及以上</w:t>
      </w:r>
      <w:r>
        <w:rPr>
          <w:rFonts w:hint="eastAsia" w:asciiTheme="minorEastAsia" w:hAnsiTheme="minorEastAsia" w:eastAsiaTheme="minorEastAsia" w:cstheme="minorEastAsia"/>
          <w:b w:val="0"/>
          <w:bCs/>
          <w:sz w:val="21"/>
          <w:szCs w:val="21"/>
          <w:highlight w:val="none"/>
          <w:lang w:val="en-US" w:eastAsia="zh-CN"/>
        </w:rPr>
        <w:t>标准，且所有工程完工后，</w:t>
      </w:r>
      <w:r>
        <w:rPr>
          <w:rFonts w:hint="eastAsia" w:asciiTheme="minorEastAsia" w:hAnsiTheme="minorEastAsia" w:cstheme="minorEastAsia"/>
          <w:b w:val="0"/>
          <w:bCs/>
          <w:sz w:val="21"/>
          <w:szCs w:val="21"/>
          <w:highlight w:val="none"/>
          <w:lang w:val="en-US" w:eastAsia="zh-CN"/>
        </w:rPr>
        <w:t>采购人</w:t>
      </w:r>
      <w:r>
        <w:rPr>
          <w:rFonts w:hint="eastAsia" w:asciiTheme="minorEastAsia" w:hAnsiTheme="minorEastAsia" w:eastAsiaTheme="minorEastAsia" w:cstheme="minorEastAsia"/>
          <w:b w:val="0"/>
          <w:bCs/>
          <w:sz w:val="21"/>
          <w:szCs w:val="21"/>
          <w:highlight w:val="none"/>
          <w:lang w:val="en-US" w:eastAsia="zh-CN"/>
        </w:rPr>
        <w:t>将组织验收小组根据本项目</w:t>
      </w:r>
      <w:r>
        <w:rPr>
          <w:rFonts w:hint="eastAsia" w:asciiTheme="minorEastAsia" w:hAnsiTheme="minorEastAsia" w:cstheme="minorEastAsia"/>
          <w:b w:val="0"/>
          <w:bCs/>
          <w:sz w:val="21"/>
          <w:szCs w:val="21"/>
          <w:highlight w:val="none"/>
          <w:lang w:val="en-US" w:eastAsia="zh-CN"/>
        </w:rPr>
        <w:t>采购</w:t>
      </w:r>
      <w:r>
        <w:rPr>
          <w:rFonts w:hint="eastAsia" w:asciiTheme="minorEastAsia" w:hAnsiTheme="minorEastAsia" w:eastAsiaTheme="minorEastAsia" w:cstheme="minorEastAsia"/>
          <w:b w:val="0"/>
          <w:bCs/>
          <w:sz w:val="21"/>
          <w:szCs w:val="21"/>
          <w:highlight w:val="none"/>
          <w:lang w:val="en-US" w:eastAsia="zh-CN"/>
        </w:rPr>
        <w:t>文件完成项目验收事宜；</w:t>
      </w:r>
    </w:p>
    <w:p w14:paraId="3F2666EA">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8.4 项目完成后，中标人应将项目有关的全部资料，包括技术文档等，移交</w:t>
      </w:r>
      <w:r>
        <w:rPr>
          <w:rFonts w:hint="eastAsia" w:asciiTheme="minorEastAsia" w:hAnsiTheme="minorEastAsia" w:cstheme="minorEastAsia"/>
          <w:b w:val="0"/>
          <w:bCs/>
          <w:sz w:val="21"/>
          <w:szCs w:val="21"/>
          <w:highlight w:val="none"/>
          <w:lang w:val="en-US" w:eastAsia="zh-CN"/>
        </w:rPr>
        <w:t>采购</w:t>
      </w:r>
      <w:r>
        <w:rPr>
          <w:rFonts w:hint="eastAsia" w:asciiTheme="minorEastAsia" w:hAnsiTheme="minorEastAsia" w:eastAsiaTheme="minorEastAsia" w:cstheme="minorEastAsia"/>
          <w:b w:val="0"/>
          <w:bCs/>
          <w:sz w:val="21"/>
          <w:szCs w:val="21"/>
          <w:highlight w:val="none"/>
          <w:lang w:val="en-US" w:eastAsia="zh-CN"/>
        </w:rPr>
        <w:t>人。</w:t>
      </w:r>
    </w:p>
    <w:p w14:paraId="69C07369">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8.5 质保期从验收合格后开始计算；属于保修范围的项目，中标人应在接到通知后2小时内响应，24小时内派人到达现场，中标人不在约定期限内派人保修，发包人可自行或指派第三方公司进行保修，费用从中标人质保金中扣除。</w:t>
      </w:r>
    </w:p>
    <w:p w14:paraId="56515043">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8.6 质保期内出现任何质量问题（人为破坏或自然灾害等不可抗力除外），由中标人负责全免费（免全部工时费、材料费、管理费、财务费等）更换或维修。</w:t>
      </w:r>
    </w:p>
    <w:p w14:paraId="73FC120B">
      <w:pPr>
        <w:pStyle w:val="3"/>
        <w:keepNext/>
        <w:keepLines/>
        <w:pageBreakBefore w:val="0"/>
        <w:widowControl w:val="0"/>
        <w:numPr>
          <w:ilvl w:val="0"/>
          <w:numId w:val="0"/>
        </w:numPr>
        <w:kinsoku/>
        <w:wordWrap/>
        <w:overflowPunct/>
        <w:topLinePunct w:val="0"/>
        <w:autoSpaceDE/>
        <w:autoSpaceDN/>
        <w:bidi w:val="0"/>
        <w:adjustRightInd w:val="0"/>
        <w:snapToGrid w:val="0"/>
        <w:spacing w:before="95" w:beforeLines="30" w:after="0" w:line="360" w:lineRule="auto"/>
        <w:ind w:firstLine="422" w:firstLineChars="200"/>
        <w:jc w:val="left"/>
        <w:textAlignment w:val="auto"/>
        <w:rPr>
          <w:rFonts w:hint="eastAsia" w:asciiTheme="minorEastAsia" w:hAnsiTheme="minorEastAsia" w:eastAsiaTheme="minorEastAsia" w:cstheme="minorEastAsia"/>
          <w:sz w:val="21"/>
          <w:szCs w:val="21"/>
          <w:highlight w:val="none"/>
          <w:lang w:val="en-US" w:eastAsia="zh-CN"/>
        </w:rPr>
      </w:pPr>
      <w:bookmarkStart w:id="152" w:name="_Toc13846"/>
      <w:bookmarkStart w:id="153" w:name="_Toc9886"/>
      <w:bookmarkStart w:id="154" w:name="_Toc688"/>
      <w:r>
        <w:rPr>
          <w:rFonts w:hint="eastAsia" w:asciiTheme="minorEastAsia" w:hAnsiTheme="minorEastAsia" w:eastAsiaTheme="minorEastAsia" w:cstheme="minorEastAsia"/>
          <w:sz w:val="21"/>
          <w:szCs w:val="21"/>
          <w:highlight w:val="none"/>
          <w:lang w:val="en-US" w:eastAsia="zh-CN"/>
        </w:rPr>
        <w:t>三、工程报价说明</w:t>
      </w:r>
      <w:bookmarkEnd w:id="152"/>
      <w:bookmarkEnd w:id="153"/>
      <w:bookmarkEnd w:id="154"/>
    </w:p>
    <w:p w14:paraId="1A984F16">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sz w:val="21"/>
          <w:szCs w:val="21"/>
          <w:highlight w:val="none"/>
          <w:lang w:val="en-US" w:eastAsia="zh-CN"/>
        </w:rPr>
        <w:t>1、本项目所有建设内容详见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工程量清单</w:t>
      </w:r>
      <w:r>
        <w:rPr>
          <w:rFonts w:hint="eastAsia" w:asciiTheme="minorEastAsia" w:hAnsiTheme="minorEastAsia" w:eastAsiaTheme="minorEastAsia" w:cstheme="minorEastAsia"/>
          <w:b w:val="0"/>
          <w:bCs/>
          <w:sz w:val="21"/>
          <w:szCs w:val="21"/>
          <w:highlight w:val="none"/>
          <w:lang w:val="en-US" w:eastAsia="zh-CN"/>
        </w:rPr>
        <w:t>，</w:t>
      </w:r>
      <w:r>
        <w:rPr>
          <w:rFonts w:hint="eastAsia" w:asciiTheme="minorEastAsia" w:hAnsiTheme="minorEastAsia" w:cstheme="minorEastAsia"/>
          <w:b/>
          <w:bCs w:val="0"/>
          <w:sz w:val="21"/>
          <w:szCs w:val="21"/>
          <w:highlight w:val="none"/>
          <w:lang w:eastAsia="zh-CN"/>
        </w:rPr>
        <w:t>供应商</w:t>
      </w:r>
      <w:r>
        <w:rPr>
          <w:rFonts w:hint="eastAsia" w:asciiTheme="minorEastAsia" w:hAnsiTheme="minorEastAsia" w:eastAsiaTheme="minorEastAsia" w:cstheme="minorEastAsia"/>
          <w:b/>
          <w:bCs w:val="0"/>
          <w:sz w:val="21"/>
          <w:szCs w:val="21"/>
          <w:highlight w:val="none"/>
        </w:rPr>
        <w:t>对本项目的</w:t>
      </w:r>
      <w:r>
        <w:rPr>
          <w:rFonts w:hint="eastAsia" w:asciiTheme="minorEastAsia" w:hAnsiTheme="minorEastAsia" w:eastAsiaTheme="minorEastAsia" w:cstheme="minorEastAsia"/>
          <w:b/>
          <w:bCs w:val="0"/>
          <w:color w:val="auto"/>
          <w:sz w:val="21"/>
          <w:szCs w:val="21"/>
          <w:highlight w:val="none"/>
        </w:rPr>
        <w:t>报价最高不得超过</w:t>
      </w:r>
      <w:r>
        <w:rPr>
          <w:rFonts w:hint="eastAsia" w:asciiTheme="minorEastAsia" w:hAnsiTheme="minorEastAsia" w:cstheme="minorEastAsia"/>
          <w:b/>
          <w:bCs w:val="0"/>
          <w:color w:val="auto"/>
          <w:sz w:val="21"/>
          <w:szCs w:val="21"/>
          <w:highlight w:val="none"/>
          <w:lang w:val="en-US" w:eastAsia="zh-CN"/>
        </w:rPr>
        <w:t>2899981.94</w:t>
      </w:r>
      <w:r>
        <w:rPr>
          <w:rFonts w:hint="eastAsia" w:asciiTheme="minorEastAsia" w:hAnsiTheme="minorEastAsia" w:eastAsiaTheme="minorEastAsia" w:cstheme="minorEastAsia"/>
          <w:b/>
          <w:bCs w:val="0"/>
          <w:color w:val="auto"/>
          <w:sz w:val="21"/>
          <w:szCs w:val="21"/>
          <w:highlight w:val="none"/>
        </w:rPr>
        <w:t>元</w:t>
      </w:r>
      <w:r>
        <w:rPr>
          <w:rFonts w:hint="eastAsia" w:asciiTheme="minorEastAsia" w:hAnsiTheme="minorEastAsia" w:eastAsiaTheme="minorEastAsia" w:cstheme="minorEastAsia"/>
          <w:b/>
          <w:bCs w:val="0"/>
          <w:sz w:val="21"/>
          <w:szCs w:val="21"/>
          <w:highlight w:val="none"/>
        </w:rPr>
        <w:t>，</w:t>
      </w:r>
      <w:r>
        <w:rPr>
          <w:rFonts w:hint="eastAsia" w:asciiTheme="minorEastAsia" w:hAnsiTheme="minorEastAsia" w:eastAsiaTheme="minorEastAsia" w:cstheme="minorEastAsia"/>
          <w:b/>
          <w:sz w:val="21"/>
          <w:szCs w:val="21"/>
          <w:highlight w:val="none"/>
        </w:rPr>
        <w:t>否则视为无效处理。</w:t>
      </w:r>
    </w:p>
    <w:p w14:paraId="41751F47">
      <w:pPr>
        <w:pStyle w:val="3"/>
        <w:keepNext/>
        <w:keepLines/>
        <w:pageBreakBefore w:val="0"/>
        <w:widowControl w:val="0"/>
        <w:numPr>
          <w:ilvl w:val="0"/>
          <w:numId w:val="0"/>
        </w:numPr>
        <w:kinsoku/>
        <w:wordWrap/>
        <w:overflowPunct/>
        <w:topLinePunct w:val="0"/>
        <w:autoSpaceDE/>
        <w:autoSpaceDN/>
        <w:bidi w:val="0"/>
        <w:adjustRightInd w:val="0"/>
        <w:snapToGrid w:val="0"/>
        <w:spacing w:before="95" w:beforeLines="30" w:after="0" w:line="360" w:lineRule="auto"/>
        <w:ind w:firstLine="422" w:firstLineChars="200"/>
        <w:jc w:val="left"/>
        <w:textAlignment w:val="auto"/>
        <w:rPr>
          <w:rFonts w:hint="eastAsia" w:asciiTheme="minorEastAsia" w:hAnsiTheme="minorEastAsia" w:eastAsiaTheme="minorEastAsia" w:cstheme="minorEastAsia"/>
          <w:sz w:val="21"/>
          <w:szCs w:val="21"/>
          <w:highlight w:val="none"/>
          <w:lang w:val="en-US" w:eastAsia="zh-CN"/>
        </w:rPr>
      </w:pPr>
      <w:bookmarkStart w:id="155" w:name="_Toc20444"/>
      <w:bookmarkStart w:id="156" w:name="_Toc16450"/>
      <w:bookmarkStart w:id="157" w:name="_Toc18657"/>
      <w:r>
        <w:rPr>
          <w:rFonts w:hint="eastAsia" w:asciiTheme="minorEastAsia" w:hAnsiTheme="minorEastAsia" w:eastAsiaTheme="minorEastAsia" w:cstheme="minorEastAsia"/>
          <w:sz w:val="21"/>
          <w:szCs w:val="21"/>
          <w:highlight w:val="none"/>
          <w:lang w:val="en-US" w:eastAsia="zh-CN"/>
        </w:rPr>
        <w:t>四、项目清单及说明（含工程量清单、标准等）</w:t>
      </w:r>
      <w:bookmarkEnd w:id="155"/>
      <w:bookmarkEnd w:id="156"/>
      <w:bookmarkEnd w:id="157"/>
    </w:p>
    <w:p w14:paraId="4087F4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3000FF"/>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1、工程量清单（另册）</w:t>
      </w:r>
    </w:p>
    <w:p w14:paraId="7D4A6B1F">
      <w:pPr>
        <w:pStyle w:val="3"/>
        <w:keepNext/>
        <w:keepLines/>
        <w:pageBreakBefore w:val="0"/>
        <w:widowControl w:val="0"/>
        <w:numPr>
          <w:ilvl w:val="0"/>
          <w:numId w:val="0"/>
        </w:numPr>
        <w:kinsoku/>
        <w:wordWrap/>
        <w:overflowPunct/>
        <w:topLinePunct w:val="0"/>
        <w:autoSpaceDE/>
        <w:autoSpaceDN/>
        <w:bidi w:val="0"/>
        <w:adjustRightInd w:val="0"/>
        <w:snapToGrid w:val="0"/>
        <w:spacing w:before="95" w:beforeLines="30" w:after="0" w:line="360" w:lineRule="auto"/>
        <w:ind w:firstLine="422" w:firstLineChars="200"/>
        <w:jc w:val="left"/>
        <w:textAlignment w:val="auto"/>
        <w:rPr>
          <w:rFonts w:hint="eastAsia" w:asciiTheme="minorEastAsia" w:hAnsiTheme="minorEastAsia" w:eastAsiaTheme="minorEastAsia" w:cstheme="minorEastAsia"/>
          <w:sz w:val="21"/>
          <w:szCs w:val="21"/>
          <w:highlight w:val="none"/>
          <w:lang w:val="en-US" w:eastAsia="zh-CN"/>
        </w:rPr>
      </w:pPr>
      <w:bookmarkStart w:id="158" w:name="_Toc28825"/>
      <w:bookmarkStart w:id="159" w:name="_Toc31747"/>
      <w:bookmarkStart w:id="160" w:name="_Toc12445"/>
      <w:r>
        <w:rPr>
          <w:rFonts w:hint="eastAsia" w:asciiTheme="minorEastAsia" w:hAnsiTheme="minorEastAsia" w:eastAsiaTheme="minorEastAsia" w:cstheme="minorEastAsia"/>
          <w:sz w:val="21"/>
          <w:szCs w:val="21"/>
          <w:highlight w:val="none"/>
          <w:lang w:val="en-US" w:eastAsia="zh-CN"/>
        </w:rPr>
        <w:t>五、工程特别说明（含结算方式、工程竣工结算等）</w:t>
      </w:r>
      <w:bookmarkEnd w:id="158"/>
      <w:bookmarkEnd w:id="159"/>
      <w:bookmarkEnd w:id="160"/>
    </w:p>
    <w:p w14:paraId="5D5BE026">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1、结算方式：</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按合同约定支付</w:t>
      </w:r>
      <w:r>
        <w:rPr>
          <w:rFonts w:hint="eastAsia" w:asciiTheme="minorEastAsia" w:hAnsiTheme="minorEastAsia" w:eastAsiaTheme="minorEastAsia" w:cstheme="minorEastAsia"/>
          <w:b w:val="0"/>
          <w:bCs/>
          <w:sz w:val="21"/>
          <w:szCs w:val="21"/>
          <w:highlight w:val="none"/>
          <w:lang w:val="en-US" w:eastAsia="zh-CN"/>
        </w:rPr>
        <w:t>；</w:t>
      </w:r>
    </w:p>
    <w:p w14:paraId="07A7FA7D">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2、工程竣工结算：按合同约定支付。</w:t>
      </w:r>
    </w:p>
    <w:p w14:paraId="53CF7930">
      <w:pPr>
        <w:pStyle w:val="3"/>
        <w:keepNext/>
        <w:keepLines/>
        <w:pageBreakBefore w:val="0"/>
        <w:widowControl w:val="0"/>
        <w:numPr>
          <w:ilvl w:val="0"/>
          <w:numId w:val="0"/>
        </w:numPr>
        <w:kinsoku/>
        <w:wordWrap/>
        <w:overflowPunct/>
        <w:topLinePunct w:val="0"/>
        <w:autoSpaceDE/>
        <w:autoSpaceDN/>
        <w:bidi w:val="0"/>
        <w:adjustRightInd w:val="0"/>
        <w:snapToGrid w:val="0"/>
        <w:spacing w:before="95" w:beforeLines="30" w:after="0" w:line="360" w:lineRule="auto"/>
        <w:ind w:firstLine="422" w:firstLineChars="200"/>
        <w:jc w:val="left"/>
        <w:textAlignment w:val="auto"/>
        <w:rPr>
          <w:rFonts w:hint="eastAsia" w:asciiTheme="minorEastAsia" w:hAnsiTheme="minorEastAsia" w:eastAsiaTheme="minorEastAsia" w:cstheme="minorEastAsia"/>
          <w:sz w:val="21"/>
          <w:szCs w:val="21"/>
          <w:highlight w:val="none"/>
          <w:lang w:val="en-US" w:eastAsia="zh-CN"/>
        </w:rPr>
      </w:pPr>
      <w:bookmarkStart w:id="161" w:name="第五章   响应文件组成"/>
      <w:bookmarkEnd w:id="161"/>
      <w:bookmarkStart w:id="162" w:name="_Toc18607"/>
      <w:bookmarkStart w:id="163" w:name="_Toc3285"/>
      <w:bookmarkStart w:id="164" w:name="_Toc28419"/>
      <w:r>
        <w:rPr>
          <w:rFonts w:hint="eastAsia" w:asciiTheme="minorEastAsia" w:hAnsiTheme="minorEastAsia" w:eastAsiaTheme="minorEastAsia" w:cstheme="minorEastAsia"/>
          <w:sz w:val="21"/>
          <w:szCs w:val="21"/>
          <w:highlight w:val="none"/>
          <w:lang w:val="en-US" w:eastAsia="zh-CN"/>
        </w:rPr>
        <w:t>六、人员要求</w:t>
      </w:r>
      <w:bookmarkEnd w:id="162"/>
      <w:bookmarkEnd w:id="163"/>
      <w:bookmarkEnd w:id="164"/>
    </w:p>
    <w:p w14:paraId="42C5E7DA">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1、拟任本工程关键岗位人员在岗天数不得少于法律法规规定的最低工作日数，若经</w:t>
      </w:r>
      <w:r>
        <w:rPr>
          <w:rFonts w:hint="eastAsia" w:asciiTheme="minorEastAsia" w:hAnsiTheme="minorEastAsia" w:cstheme="minorEastAsia"/>
          <w:b w:val="0"/>
          <w:bCs/>
          <w:sz w:val="21"/>
          <w:szCs w:val="21"/>
          <w:highlight w:val="none"/>
          <w:lang w:val="en-US" w:eastAsia="zh-CN"/>
        </w:rPr>
        <w:t>采购人</w:t>
      </w:r>
      <w:r>
        <w:rPr>
          <w:rFonts w:hint="eastAsia" w:asciiTheme="minorEastAsia" w:hAnsiTheme="minorEastAsia" w:eastAsiaTheme="minorEastAsia" w:cstheme="minorEastAsia"/>
          <w:b w:val="0"/>
          <w:bCs/>
          <w:sz w:val="21"/>
          <w:szCs w:val="21"/>
          <w:highlight w:val="none"/>
          <w:lang w:val="en-US" w:eastAsia="zh-CN"/>
        </w:rPr>
        <w:t>及相关主管部门检查在岗天数未达到要求</w:t>
      </w:r>
      <w:r>
        <w:rPr>
          <w:rFonts w:hint="eastAsia" w:asciiTheme="minorEastAsia" w:hAnsiTheme="minorEastAsia" w:eastAsiaTheme="minorEastAsia" w:cstheme="minorEastAsia"/>
          <w:b w:val="0"/>
          <w:bCs/>
          <w:color w:val="auto"/>
          <w:sz w:val="21"/>
          <w:szCs w:val="21"/>
          <w:highlight w:val="none"/>
          <w:lang w:val="en-US" w:eastAsia="zh-CN"/>
        </w:rPr>
        <w:t>，按500元/次进行罚款；</w:t>
      </w:r>
    </w:p>
    <w:p w14:paraId="6FD832A1">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2、中标人同时应满足相关法律法规对工程关键岗位人员的其他到岗要求。</w:t>
      </w:r>
    </w:p>
    <w:p w14:paraId="1C2CE77B">
      <w:pPr>
        <w:pStyle w:val="3"/>
        <w:keepNext/>
        <w:keepLines/>
        <w:pageBreakBefore w:val="0"/>
        <w:widowControl w:val="0"/>
        <w:numPr>
          <w:ilvl w:val="0"/>
          <w:numId w:val="0"/>
        </w:numPr>
        <w:kinsoku/>
        <w:wordWrap/>
        <w:overflowPunct/>
        <w:topLinePunct w:val="0"/>
        <w:autoSpaceDE/>
        <w:autoSpaceDN/>
        <w:bidi w:val="0"/>
        <w:adjustRightInd w:val="0"/>
        <w:snapToGrid w:val="0"/>
        <w:spacing w:before="95" w:beforeLines="30" w:after="0" w:line="360" w:lineRule="auto"/>
        <w:ind w:firstLine="422" w:firstLineChars="200"/>
        <w:jc w:val="left"/>
        <w:textAlignment w:val="auto"/>
        <w:rPr>
          <w:rFonts w:hint="eastAsia" w:asciiTheme="minorEastAsia" w:hAnsiTheme="minorEastAsia" w:eastAsiaTheme="minorEastAsia" w:cstheme="minorEastAsia"/>
          <w:sz w:val="21"/>
          <w:szCs w:val="21"/>
          <w:highlight w:val="none"/>
          <w:lang w:val="en-US" w:eastAsia="zh-CN"/>
        </w:rPr>
      </w:pPr>
      <w:bookmarkStart w:id="165" w:name="_Toc5904"/>
      <w:bookmarkStart w:id="166" w:name="_Toc27066"/>
      <w:bookmarkStart w:id="167" w:name="_Toc8932"/>
      <w:r>
        <w:rPr>
          <w:rFonts w:hint="eastAsia" w:asciiTheme="minorEastAsia" w:hAnsiTheme="minorEastAsia" w:eastAsiaTheme="minorEastAsia" w:cstheme="minorEastAsia"/>
          <w:sz w:val="21"/>
          <w:szCs w:val="21"/>
          <w:highlight w:val="none"/>
          <w:lang w:val="en-US" w:eastAsia="zh-CN"/>
        </w:rPr>
        <w:t>七、其它需要说明的事项</w:t>
      </w:r>
      <w:bookmarkEnd w:id="165"/>
      <w:bookmarkEnd w:id="166"/>
      <w:bookmarkEnd w:id="167"/>
    </w:p>
    <w:p w14:paraId="0E85B051">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b w:val="0"/>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val="0"/>
          <w:bCs/>
          <w:sz w:val="21"/>
          <w:szCs w:val="21"/>
          <w:highlight w:val="none"/>
          <w:lang w:val="en-US" w:eastAsia="zh-CN"/>
        </w:rPr>
        <w:t>1、现场踏勘：</w:t>
      </w:r>
      <w:r>
        <w:rPr>
          <w:rFonts w:hint="eastAsia" w:asciiTheme="minorEastAsia" w:hAnsiTheme="minorEastAsia" w:cstheme="minorEastAsia"/>
          <w:b w:val="0"/>
          <w:bCs/>
          <w:sz w:val="21"/>
          <w:szCs w:val="21"/>
          <w:highlight w:val="none"/>
          <w:lang w:val="en-US" w:eastAsia="zh-CN"/>
        </w:rPr>
        <w:t>采购人</w:t>
      </w:r>
      <w:r>
        <w:rPr>
          <w:rFonts w:hint="eastAsia" w:asciiTheme="minorEastAsia" w:hAnsiTheme="minorEastAsia" w:eastAsiaTheme="minorEastAsia" w:cstheme="minorEastAsia"/>
          <w:b w:val="0"/>
          <w:bCs/>
          <w:sz w:val="21"/>
          <w:szCs w:val="21"/>
          <w:highlight w:val="none"/>
          <w:lang w:val="en-US" w:eastAsia="zh-CN"/>
        </w:rPr>
        <w:t>不另行组织对本工程实施现场进行踏勘，</w:t>
      </w:r>
      <w:r>
        <w:rPr>
          <w:rFonts w:hint="eastAsia" w:asciiTheme="minorEastAsia" w:hAnsiTheme="minorEastAsia" w:cstheme="minorEastAsia"/>
          <w:b w:val="0"/>
          <w:bCs/>
          <w:sz w:val="21"/>
          <w:szCs w:val="21"/>
          <w:highlight w:val="none"/>
          <w:lang w:val="en-US" w:eastAsia="zh-CN"/>
        </w:rPr>
        <w:t>供应商</w:t>
      </w:r>
      <w:r>
        <w:rPr>
          <w:rFonts w:hint="eastAsia" w:asciiTheme="minorEastAsia" w:hAnsiTheme="minorEastAsia" w:eastAsiaTheme="minorEastAsia" w:cstheme="minorEastAsia"/>
          <w:b w:val="0"/>
          <w:bCs/>
          <w:sz w:val="21"/>
          <w:szCs w:val="21"/>
          <w:highlight w:val="none"/>
          <w:lang w:val="en-US" w:eastAsia="zh-CN"/>
        </w:rPr>
        <w:t>在参加</w:t>
      </w:r>
      <w:r>
        <w:rPr>
          <w:rFonts w:hint="eastAsia" w:asciiTheme="minorEastAsia" w:hAnsiTheme="minorEastAsia" w:cstheme="minorEastAsia"/>
          <w:b w:val="0"/>
          <w:bCs/>
          <w:sz w:val="21"/>
          <w:szCs w:val="21"/>
          <w:highlight w:val="none"/>
          <w:lang w:val="en-US" w:eastAsia="zh-CN"/>
        </w:rPr>
        <w:t>采购</w:t>
      </w:r>
      <w:r>
        <w:rPr>
          <w:rFonts w:hint="eastAsia" w:asciiTheme="minorEastAsia" w:hAnsiTheme="minorEastAsia" w:eastAsiaTheme="minorEastAsia" w:cstheme="minorEastAsia"/>
          <w:b w:val="0"/>
          <w:bCs/>
          <w:sz w:val="21"/>
          <w:szCs w:val="21"/>
          <w:highlight w:val="none"/>
          <w:lang w:val="en-US" w:eastAsia="zh-CN"/>
        </w:rPr>
        <w:t>活动前如需踏勘现场，有关踏勘事宜由</w:t>
      </w:r>
      <w:r>
        <w:rPr>
          <w:rFonts w:hint="eastAsia" w:asciiTheme="minorEastAsia" w:hAnsiTheme="minorEastAsia" w:cstheme="minorEastAsia"/>
          <w:b w:val="0"/>
          <w:bCs/>
          <w:sz w:val="21"/>
          <w:szCs w:val="21"/>
          <w:highlight w:val="none"/>
          <w:lang w:val="en-US" w:eastAsia="zh-CN"/>
        </w:rPr>
        <w:t>供应商</w:t>
      </w:r>
      <w:r>
        <w:rPr>
          <w:rFonts w:hint="eastAsia" w:asciiTheme="minorEastAsia" w:hAnsiTheme="minorEastAsia" w:eastAsiaTheme="minorEastAsia" w:cstheme="minorEastAsia"/>
          <w:b w:val="0"/>
          <w:bCs/>
          <w:sz w:val="21"/>
          <w:szCs w:val="21"/>
          <w:highlight w:val="none"/>
          <w:lang w:val="en-US" w:eastAsia="zh-CN"/>
        </w:rPr>
        <w:t>与</w:t>
      </w:r>
      <w:r>
        <w:rPr>
          <w:rFonts w:hint="eastAsia" w:asciiTheme="minorEastAsia" w:hAnsiTheme="minorEastAsia" w:cstheme="minorEastAsia"/>
          <w:b w:val="0"/>
          <w:bCs/>
          <w:sz w:val="21"/>
          <w:szCs w:val="21"/>
          <w:highlight w:val="none"/>
          <w:lang w:val="en-US" w:eastAsia="zh-CN"/>
        </w:rPr>
        <w:t>采购人</w:t>
      </w:r>
      <w:r>
        <w:rPr>
          <w:rFonts w:hint="eastAsia" w:asciiTheme="minorEastAsia" w:hAnsiTheme="minorEastAsia" w:eastAsiaTheme="minorEastAsia" w:cstheme="minorEastAsia"/>
          <w:b w:val="0"/>
          <w:bCs/>
          <w:sz w:val="21"/>
          <w:szCs w:val="21"/>
          <w:highlight w:val="none"/>
          <w:lang w:val="en-US" w:eastAsia="zh-CN"/>
        </w:rPr>
        <w:t>联系自行处理；有关费用自理，踏勘期间发生的意外自负。</w:t>
      </w:r>
    </w:p>
    <w:p w14:paraId="75CEE804">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sz w:val="21"/>
          <w:szCs w:val="21"/>
          <w:highlight w:val="none"/>
          <w:lang w:val="en-US" w:eastAsia="zh-CN"/>
        </w:rPr>
        <w:t>2、其他未尽事宜，双方协商解决。</w:t>
      </w:r>
      <w:bookmarkEnd w:id="147"/>
    </w:p>
    <w:p w14:paraId="573B0336">
      <w:pPr>
        <w:pStyle w:val="25"/>
        <w:keepNext w:val="0"/>
        <w:keepLines w:val="0"/>
        <w:pageBreakBefore w:val="0"/>
        <w:numPr>
          <w:ilvl w:val="0"/>
          <w:numId w:val="0"/>
        </w:numPr>
        <w:tabs>
          <w:tab w:val="left" w:pos="720"/>
        </w:tabs>
        <w:kinsoku/>
        <w:wordWrap/>
        <w:overflowPunct/>
        <w:topLinePunct w:val="0"/>
        <w:autoSpaceDE/>
        <w:autoSpaceDN/>
        <w:bidi w:val="0"/>
        <w:snapToGrid/>
        <w:spacing w:after="0" w:line="240" w:lineRule="auto"/>
        <w:ind w:left="560" w:leftChars="0"/>
        <w:textAlignment w:val="auto"/>
        <w:rPr>
          <w:rFonts w:hint="eastAsia"/>
        </w:rPr>
      </w:pPr>
    </w:p>
    <w:p w14:paraId="3504AB25">
      <w:pPr>
        <w:pStyle w:val="7"/>
        <w:rPr>
          <w:rFonts w:hint="eastAsia"/>
        </w:rPr>
      </w:pPr>
    </w:p>
    <w:p w14:paraId="22DF3CC5">
      <w:pPr>
        <w:rPr>
          <w:rFonts w:hint="eastAsia"/>
        </w:rPr>
      </w:pPr>
    </w:p>
    <w:p w14:paraId="7DFBE3BC">
      <w:pPr>
        <w:pStyle w:val="41"/>
        <w:rPr>
          <w:rFonts w:hint="eastAsia"/>
        </w:rPr>
      </w:pPr>
    </w:p>
    <w:p w14:paraId="3C013910">
      <w:pPr>
        <w:pStyle w:val="21"/>
        <w:rPr>
          <w:rFonts w:hint="eastAsia"/>
        </w:rPr>
      </w:pPr>
    </w:p>
    <w:p w14:paraId="3506D8A6">
      <w:pPr>
        <w:rPr>
          <w:rFonts w:hint="eastAsia"/>
        </w:rPr>
      </w:pPr>
    </w:p>
    <w:p w14:paraId="3EEBCB7B">
      <w:pPr>
        <w:pStyle w:val="41"/>
        <w:rPr>
          <w:rFonts w:hint="eastAsia"/>
        </w:rPr>
      </w:pPr>
    </w:p>
    <w:p w14:paraId="499DE03F">
      <w:pPr>
        <w:pStyle w:val="21"/>
        <w:rPr>
          <w:rFonts w:hint="eastAsia"/>
        </w:rPr>
      </w:pPr>
    </w:p>
    <w:p w14:paraId="144EEE76">
      <w:pPr>
        <w:rPr>
          <w:rFonts w:hint="eastAsia"/>
        </w:rPr>
      </w:pPr>
    </w:p>
    <w:p w14:paraId="3A6E7FE5">
      <w:pPr>
        <w:pStyle w:val="41"/>
        <w:rPr>
          <w:rFonts w:hint="eastAsia"/>
        </w:rPr>
      </w:pPr>
    </w:p>
    <w:p w14:paraId="3704C10F">
      <w:pPr>
        <w:pStyle w:val="21"/>
        <w:rPr>
          <w:rFonts w:hint="eastAsia"/>
        </w:rPr>
      </w:pPr>
    </w:p>
    <w:p w14:paraId="6ED7D99C">
      <w:pPr>
        <w:rPr>
          <w:rFonts w:hint="eastAsia"/>
        </w:rPr>
      </w:pPr>
    </w:p>
    <w:p w14:paraId="0746B934">
      <w:pPr>
        <w:pStyle w:val="41"/>
        <w:rPr>
          <w:rFonts w:hint="eastAsia"/>
        </w:rPr>
      </w:pPr>
    </w:p>
    <w:p w14:paraId="65B8178B">
      <w:pPr>
        <w:pStyle w:val="21"/>
        <w:rPr>
          <w:rFonts w:hint="eastAsia"/>
        </w:rPr>
      </w:pPr>
    </w:p>
    <w:p w14:paraId="4F18DD0B">
      <w:pPr>
        <w:rPr>
          <w:rFonts w:hint="eastAsia"/>
        </w:rPr>
      </w:pPr>
    </w:p>
    <w:p w14:paraId="67F5A385">
      <w:pPr>
        <w:pStyle w:val="41"/>
        <w:rPr>
          <w:rFonts w:hint="eastAsia"/>
        </w:rPr>
      </w:pPr>
    </w:p>
    <w:p w14:paraId="49EEC96E">
      <w:pPr>
        <w:pStyle w:val="21"/>
        <w:rPr>
          <w:rFonts w:hint="eastAsia"/>
        </w:rPr>
      </w:pPr>
    </w:p>
    <w:p w14:paraId="67CF04A4">
      <w:pPr>
        <w:rPr>
          <w:rFonts w:hint="eastAsia"/>
        </w:rPr>
      </w:pPr>
    </w:p>
    <w:p w14:paraId="23B8B9B2">
      <w:pPr>
        <w:pStyle w:val="41"/>
        <w:rPr>
          <w:rFonts w:hint="eastAsia"/>
        </w:rPr>
      </w:pPr>
    </w:p>
    <w:p w14:paraId="365D0654">
      <w:pPr>
        <w:pStyle w:val="21"/>
        <w:rPr>
          <w:rFonts w:hint="eastAsia"/>
        </w:rPr>
      </w:pPr>
    </w:p>
    <w:p w14:paraId="05776551">
      <w:pPr>
        <w:rPr>
          <w:rFonts w:hint="eastAsia"/>
        </w:rPr>
      </w:pPr>
    </w:p>
    <w:p w14:paraId="42CEF6FD">
      <w:pPr>
        <w:pStyle w:val="41"/>
        <w:rPr>
          <w:rFonts w:hint="eastAsia"/>
        </w:rPr>
      </w:pPr>
    </w:p>
    <w:p w14:paraId="6B1E7812">
      <w:pPr>
        <w:pStyle w:val="2"/>
        <w:numPr>
          <w:ilvl w:val="0"/>
          <w:numId w:val="0"/>
        </w:numPr>
        <w:jc w:val="center"/>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t>第五章 响应文件组成</w:t>
      </w:r>
      <w:bookmarkEnd w:id="139"/>
      <w:bookmarkEnd w:id="140"/>
      <w:bookmarkEnd w:id="141"/>
      <w:bookmarkEnd w:id="142"/>
      <w:bookmarkEnd w:id="143"/>
    </w:p>
    <w:p w14:paraId="65F9FFB8">
      <w:pPr>
        <w:spacing w:line="360" w:lineRule="auto"/>
        <w:rPr>
          <w:rFonts w:hint="eastAsia" w:ascii="仿宋" w:hAnsi="仿宋" w:eastAsia="仿宋" w:cs="仿宋"/>
          <w:color w:val="auto"/>
          <w:sz w:val="24"/>
        </w:rPr>
      </w:pPr>
    </w:p>
    <w:p w14:paraId="33BFBEF7">
      <w:pPr>
        <w:spacing w:line="360" w:lineRule="auto"/>
        <w:rPr>
          <w:rFonts w:hint="eastAsia" w:ascii="仿宋" w:hAnsi="仿宋" w:eastAsia="仿宋" w:cs="仿宋"/>
          <w:color w:val="auto"/>
          <w:szCs w:val="21"/>
        </w:rPr>
      </w:pPr>
      <w:r>
        <w:rPr>
          <w:rFonts w:hint="eastAsia" w:ascii="仿宋" w:hAnsi="仿宋" w:eastAsia="仿宋" w:cs="仿宋"/>
          <w:color w:val="auto"/>
          <w:szCs w:val="21"/>
        </w:rPr>
        <w:t>供应商的响应文件应包含以下部分：</w:t>
      </w:r>
    </w:p>
    <w:p w14:paraId="2A8C49B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highlight w:val="none"/>
        </w:rPr>
      </w:pPr>
      <w:bookmarkStart w:id="168" w:name="_Toc9276"/>
      <w:r>
        <w:rPr>
          <w:rFonts w:hint="eastAsia" w:ascii="仿宋" w:hAnsi="仿宋" w:eastAsia="仿宋" w:cs="仿宋"/>
          <w:b/>
          <w:bCs/>
          <w:color w:val="auto"/>
          <w:sz w:val="21"/>
          <w:szCs w:val="21"/>
          <w:highlight w:val="none"/>
        </w:rPr>
        <w:t>一、响应声明</w:t>
      </w:r>
      <w:bookmarkEnd w:id="168"/>
    </w:p>
    <w:p w14:paraId="7BDC92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highlight w:val="none"/>
          <w:lang w:val="en-US" w:eastAsia="zh-CN"/>
        </w:rPr>
      </w:pPr>
      <w:bookmarkStart w:id="169" w:name="_Toc22878"/>
      <w:r>
        <w:rPr>
          <w:rFonts w:hint="eastAsia" w:ascii="仿宋" w:hAnsi="仿宋" w:eastAsia="仿宋" w:cs="仿宋"/>
          <w:b/>
          <w:bCs/>
          <w:color w:val="auto"/>
          <w:sz w:val="21"/>
          <w:szCs w:val="21"/>
          <w:highlight w:val="none"/>
        </w:rPr>
        <w:t>二、</w:t>
      </w:r>
      <w:bookmarkEnd w:id="169"/>
      <w:r>
        <w:rPr>
          <w:rFonts w:hint="eastAsia" w:ascii="仿宋" w:hAnsi="仿宋" w:eastAsia="仿宋" w:cs="仿宋"/>
          <w:b/>
          <w:bCs/>
          <w:color w:val="auto"/>
          <w:sz w:val="21"/>
          <w:szCs w:val="21"/>
          <w:highlight w:val="none"/>
          <w:lang w:val="en-US" w:eastAsia="zh-CN"/>
        </w:rPr>
        <w:t>报价一览表</w:t>
      </w:r>
    </w:p>
    <w:p w14:paraId="0E9B2E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highlight w:val="none"/>
          <w:lang w:val="en-US" w:eastAsia="zh-CN"/>
        </w:rPr>
      </w:pPr>
      <w:bookmarkStart w:id="170" w:name="_Toc11482"/>
      <w:r>
        <w:rPr>
          <w:rFonts w:hint="eastAsia" w:ascii="仿宋" w:hAnsi="仿宋" w:eastAsia="仿宋" w:cs="仿宋"/>
          <w:b/>
          <w:bCs/>
          <w:color w:val="auto"/>
          <w:sz w:val="21"/>
          <w:szCs w:val="21"/>
          <w:highlight w:val="none"/>
        </w:rPr>
        <w:t>三、</w:t>
      </w:r>
      <w:r>
        <w:rPr>
          <w:rFonts w:hint="eastAsia" w:ascii="仿宋" w:hAnsi="仿宋" w:eastAsia="仿宋" w:cs="仿宋"/>
          <w:b/>
          <w:bCs/>
          <w:color w:val="auto"/>
          <w:sz w:val="21"/>
          <w:szCs w:val="21"/>
          <w:highlight w:val="none"/>
          <w:lang w:val="en-US" w:eastAsia="zh-CN"/>
        </w:rPr>
        <w:t>联合体协议</w:t>
      </w:r>
    </w:p>
    <w:p w14:paraId="0F6B56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四、</w:t>
      </w:r>
      <w:r>
        <w:rPr>
          <w:rFonts w:hint="eastAsia" w:ascii="仿宋" w:hAnsi="仿宋" w:eastAsia="仿宋" w:cs="仿宋"/>
          <w:b/>
          <w:bCs/>
          <w:color w:val="auto"/>
          <w:sz w:val="21"/>
          <w:szCs w:val="21"/>
          <w:highlight w:val="none"/>
        </w:rPr>
        <w:t>供应商的资格证明材料</w:t>
      </w:r>
      <w:bookmarkEnd w:id="170"/>
    </w:p>
    <w:p w14:paraId="0A6CE1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highlight w:val="none"/>
          <w:lang w:val="en-US" w:eastAsia="zh-CN"/>
        </w:rPr>
      </w:pPr>
      <w:bookmarkStart w:id="171" w:name="_Toc4973"/>
      <w:r>
        <w:rPr>
          <w:rFonts w:hint="eastAsia" w:ascii="仿宋" w:hAnsi="仿宋" w:eastAsia="仿宋" w:cs="仿宋"/>
          <w:b/>
          <w:bCs/>
          <w:color w:val="auto"/>
          <w:sz w:val="21"/>
          <w:szCs w:val="21"/>
          <w:highlight w:val="none"/>
          <w:lang w:val="en-US" w:eastAsia="zh-CN"/>
        </w:rPr>
        <w:t>五</w:t>
      </w:r>
      <w:r>
        <w:rPr>
          <w:rFonts w:hint="eastAsia" w:ascii="仿宋" w:hAnsi="仿宋" w:eastAsia="仿宋" w:cs="仿宋"/>
          <w:b/>
          <w:bCs/>
          <w:color w:val="auto"/>
          <w:sz w:val="21"/>
          <w:szCs w:val="21"/>
          <w:highlight w:val="none"/>
        </w:rPr>
        <w:t>、</w:t>
      </w:r>
      <w:bookmarkEnd w:id="171"/>
      <w:bookmarkStart w:id="172" w:name="_Toc21208"/>
      <w:r>
        <w:rPr>
          <w:rFonts w:hint="eastAsia" w:ascii="仿宋" w:hAnsi="仿宋" w:eastAsia="仿宋" w:cs="仿宋"/>
          <w:b/>
          <w:bCs/>
          <w:color w:val="auto"/>
          <w:sz w:val="21"/>
          <w:szCs w:val="21"/>
          <w:highlight w:val="none"/>
          <w:lang w:val="en-US" w:eastAsia="zh-CN"/>
        </w:rPr>
        <w:t>技术部分</w:t>
      </w:r>
    </w:p>
    <w:p w14:paraId="5BA2C3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六、</w:t>
      </w:r>
      <w:bookmarkEnd w:id="172"/>
      <w:r>
        <w:rPr>
          <w:rFonts w:hint="eastAsia" w:ascii="仿宋" w:hAnsi="仿宋" w:eastAsia="仿宋" w:cs="仿宋"/>
          <w:b/>
          <w:bCs/>
          <w:color w:val="auto"/>
          <w:sz w:val="21"/>
          <w:szCs w:val="21"/>
          <w:highlight w:val="none"/>
          <w:lang w:val="en-US" w:eastAsia="zh-CN"/>
        </w:rPr>
        <w:t>技术或商务响应偏离表</w:t>
      </w:r>
    </w:p>
    <w:p w14:paraId="35C7D9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highlight w:val="none"/>
          <w:lang w:val="en-US" w:eastAsia="zh-CN"/>
        </w:rPr>
      </w:pPr>
      <w:bookmarkStart w:id="173" w:name="_Toc19565"/>
      <w:r>
        <w:rPr>
          <w:rFonts w:hint="eastAsia" w:ascii="仿宋" w:hAnsi="仿宋" w:eastAsia="仿宋" w:cs="仿宋"/>
          <w:b/>
          <w:bCs/>
          <w:color w:val="auto"/>
          <w:sz w:val="21"/>
          <w:szCs w:val="21"/>
          <w:highlight w:val="none"/>
          <w:lang w:val="en-US" w:eastAsia="zh-CN"/>
        </w:rPr>
        <w:t>七</w:t>
      </w:r>
      <w:r>
        <w:rPr>
          <w:rFonts w:hint="eastAsia" w:ascii="仿宋" w:hAnsi="仿宋" w:eastAsia="仿宋" w:cs="仿宋"/>
          <w:b/>
          <w:bCs/>
          <w:color w:val="auto"/>
          <w:sz w:val="21"/>
          <w:szCs w:val="21"/>
          <w:highlight w:val="none"/>
        </w:rPr>
        <w:t>、提供享受</w:t>
      </w:r>
      <w:r>
        <w:rPr>
          <w:rFonts w:hint="eastAsia" w:ascii="仿宋" w:hAnsi="仿宋" w:eastAsia="仿宋" w:cs="仿宋"/>
          <w:b/>
          <w:bCs/>
          <w:color w:val="auto"/>
          <w:sz w:val="21"/>
          <w:szCs w:val="21"/>
          <w:highlight w:val="none"/>
          <w:lang w:eastAsia="zh-CN"/>
        </w:rPr>
        <w:t>采购</w:t>
      </w:r>
      <w:r>
        <w:rPr>
          <w:rFonts w:hint="eastAsia" w:ascii="仿宋" w:hAnsi="仿宋" w:eastAsia="仿宋" w:cs="仿宋"/>
          <w:b/>
          <w:bCs/>
          <w:color w:val="auto"/>
          <w:sz w:val="21"/>
          <w:szCs w:val="21"/>
          <w:highlight w:val="none"/>
        </w:rPr>
        <w:t>政策的证明材料和清单表</w:t>
      </w:r>
    </w:p>
    <w:p w14:paraId="2EF194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八、</w:t>
      </w:r>
      <w:bookmarkEnd w:id="173"/>
      <w:r>
        <w:rPr>
          <w:rFonts w:hint="eastAsia" w:ascii="仿宋" w:hAnsi="仿宋" w:eastAsia="仿宋" w:cs="仿宋"/>
          <w:b/>
          <w:bCs/>
          <w:color w:val="auto"/>
          <w:sz w:val="21"/>
          <w:szCs w:val="21"/>
          <w:highlight w:val="none"/>
        </w:rPr>
        <w:t>供应商认为需要提供的其它资料</w:t>
      </w:r>
    </w:p>
    <w:p w14:paraId="094CDE5F">
      <w:pPr>
        <w:pStyle w:val="11"/>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九、报价</w:t>
      </w:r>
      <w:r>
        <w:rPr>
          <w:rFonts w:hint="eastAsia" w:ascii="仿宋" w:hAnsi="仿宋" w:eastAsia="仿宋" w:cs="仿宋"/>
          <w:b/>
          <w:bCs/>
          <w:color w:val="auto"/>
          <w:sz w:val="21"/>
          <w:szCs w:val="21"/>
          <w:highlight w:val="none"/>
        </w:rPr>
        <w:t>表及</w:t>
      </w:r>
      <w:r>
        <w:rPr>
          <w:rFonts w:hint="eastAsia" w:ascii="仿宋" w:hAnsi="仿宋" w:eastAsia="仿宋" w:cs="仿宋"/>
          <w:b/>
          <w:bCs/>
          <w:color w:val="auto"/>
          <w:sz w:val="21"/>
          <w:szCs w:val="21"/>
          <w:highlight w:val="none"/>
          <w:lang w:val="en-US" w:eastAsia="zh-CN"/>
        </w:rPr>
        <w:t>分项价格表</w:t>
      </w:r>
    </w:p>
    <w:p w14:paraId="1E2701B5">
      <w:pPr>
        <w:pStyle w:val="11"/>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十、最后报价表</w:t>
      </w:r>
    </w:p>
    <w:p w14:paraId="278264C4">
      <w:pPr>
        <w:pStyle w:val="11"/>
        <w:ind w:firstLine="422" w:firstLineChars="200"/>
        <w:rPr>
          <w:rFonts w:hint="eastAsia" w:ascii="仿宋" w:hAnsi="仿宋" w:eastAsia="仿宋" w:cs="仿宋"/>
          <w:b/>
          <w:bCs/>
          <w:color w:val="auto"/>
          <w:sz w:val="21"/>
          <w:szCs w:val="21"/>
          <w:highlight w:val="none"/>
          <w:lang w:val="en-US" w:eastAsia="zh-CN"/>
        </w:rPr>
      </w:pPr>
    </w:p>
    <w:p w14:paraId="36FCE537">
      <w:pPr>
        <w:rPr>
          <w:rFonts w:hint="eastAsia" w:ascii="仿宋" w:hAnsi="仿宋" w:eastAsia="仿宋" w:cs="仿宋"/>
          <w:color w:val="auto"/>
          <w:szCs w:val="21"/>
        </w:rPr>
      </w:pPr>
    </w:p>
    <w:p w14:paraId="3C25BF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rPr>
      </w:pPr>
      <w:r>
        <w:rPr>
          <w:rFonts w:hint="eastAsia" w:ascii="仿宋" w:hAnsi="仿宋" w:eastAsia="仿宋" w:cs="仿宋"/>
          <w:color w:val="auto"/>
          <w:szCs w:val="21"/>
        </w:rPr>
        <w:br w:type="page"/>
      </w:r>
    </w:p>
    <w:p w14:paraId="2E569848">
      <w:pPr>
        <w:adjustRightInd w:val="0"/>
        <w:snapToGrid w:val="0"/>
        <w:spacing w:line="360" w:lineRule="auto"/>
        <w:jc w:val="center"/>
        <w:rPr>
          <w:rFonts w:hint="eastAsia" w:ascii="宋体" w:hAnsi="宋体"/>
          <w:b/>
          <w:bCs/>
          <w:color w:val="auto"/>
          <w:sz w:val="84"/>
          <w:szCs w:val="84"/>
          <w:highlight w:val="none"/>
        </w:rPr>
      </w:pPr>
    </w:p>
    <w:p w14:paraId="5625EA38">
      <w:pPr>
        <w:adjustRightInd w:val="0"/>
        <w:snapToGrid w:val="0"/>
        <w:spacing w:line="360" w:lineRule="auto"/>
        <w:jc w:val="center"/>
        <w:rPr>
          <w:rFonts w:hint="eastAsia" w:ascii="宋体" w:hAnsi="宋体"/>
          <w:b/>
          <w:bCs/>
          <w:color w:val="auto"/>
          <w:sz w:val="84"/>
          <w:szCs w:val="84"/>
          <w:highlight w:val="none"/>
        </w:rPr>
      </w:pPr>
    </w:p>
    <w:p w14:paraId="561FF8B2">
      <w:pPr>
        <w:adjustRightInd w:val="0"/>
        <w:snapToGrid w:val="0"/>
        <w:spacing w:line="360" w:lineRule="auto"/>
        <w:jc w:val="center"/>
        <w:rPr>
          <w:rFonts w:ascii="宋体" w:hAnsi="宋体"/>
          <w:b/>
          <w:bCs/>
          <w:color w:val="auto"/>
          <w:sz w:val="84"/>
          <w:szCs w:val="84"/>
          <w:highlight w:val="none"/>
        </w:rPr>
      </w:pPr>
      <w:r>
        <w:rPr>
          <w:rFonts w:hint="eastAsia" w:ascii="宋体" w:hAnsi="宋体"/>
          <w:b/>
          <w:bCs/>
          <w:color w:val="auto"/>
          <w:sz w:val="84"/>
          <w:szCs w:val="84"/>
          <w:highlight w:val="none"/>
        </w:rPr>
        <w:t>响 应 文 件</w:t>
      </w:r>
    </w:p>
    <w:p w14:paraId="5B2F5008">
      <w:pPr>
        <w:adjustRightInd w:val="0"/>
        <w:snapToGrid w:val="0"/>
        <w:spacing w:line="360" w:lineRule="auto"/>
        <w:rPr>
          <w:rFonts w:ascii="黑体" w:hAnsi="黑体" w:eastAsia="黑体"/>
          <w:b/>
          <w:color w:val="auto"/>
          <w:sz w:val="32"/>
          <w:szCs w:val="32"/>
          <w:highlight w:val="none"/>
        </w:rPr>
      </w:pPr>
    </w:p>
    <w:p w14:paraId="112A59E1">
      <w:pPr>
        <w:adjustRightInd w:val="0"/>
        <w:snapToGrid w:val="0"/>
        <w:spacing w:line="360" w:lineRule="auto"/>
        <w:rPr>
          <w:rFonts w:ascii="宋体" w:hAnsi="宋体"/>
          <w:b/>
          <w:color w:val="auto"/>
          <w:sz w:val="30"/>
          <w:szCs w:val="30"/>
          <w:highlight w:val="none"/>
        </w:rPr>
      </w:pPr>
      <w:r>
        <w:rPr>
          <w:rFonts w:hint="eastAsia" w:ascii="宋体" w:hAnsi="宋体"/>
          <w:b/>
          <w:color w:val="auto"/>
          <w:sz w:val="32"/>
          <w:szCs w:val="32"/>
          <w:highlight w:val="none"/>
        </w:rPr>
        <w:t xml:space="preserve">                     </w:t>
      </w:r>
    </w:p>
    <w:p w14:paraId="4534E63F">
      <w:pPr>
        <w:pStyle w:val="16"/>
        <w:adjustRightInd w:val="0"/>
        <w:snapToGrid w:val="0"/>
        <w:spacing w:line="360" w:lineRule="auto"/>
        <w:ind w:firstLine="1988" w:firstLineChars="660"/>
        <w:rPr>
          <w:rFonts w:hAnsi="宋体"/>
          <w:b/>
          <w:bCs/>
          <w:color w:val="auto"/>
          <w:sz w:val="30"/>
          <w:szCs w:val="30"/>
          <w:highlight w:val="none"/>
          <w:u w:val="single"/>
        </w:rPr>
      </w:pPr>
      <w:r>
        <w:rPr>
          <w:rFonts w:hint="eastAsia" w:hAnsi="宋体"/>
          <w:b/>
          <w:bCs/>
          <w:color w:val="auto"/>
          <w:sz w:val="30"/>
          <w:szCs w:val="30"/>
          <w:highlight w:val="none"/>
        </w:rPr>
        <w:t>采购项目名称:</w:t>
      </w:r>
      <w:r>
        <w:rPr>
          <w:rFonts w:hint="eastAsia" w:hAnsi="宋体"/>
          <w:b/>
          <w:bCs/>
          <w:color w:val="auto"/>
          <w:sz w:val="30"/>
          <w:szCs w:val="30"/>
          <w:highlight w:val="none"/>
          <w:u w:val="single"/>
        </w:rPr>
        <w:t xml:space="preserve">                       </w:t>
      </w:r>
    </w:p>
    <w:p w14:paraId="6EDCEBBF">
      <w:pPr>
        <w:pStyle w:val="16"/>
        <w:adjustRightInd w:val="0"/>
        <w:snapToGrid w:val="0"/>
        <w:spacing w:line="360" w:lineRule="auto"/>
        <w:ind w:firstLine="1988" w:firstLineChars="660"/>
        <w:rPr>
          <w:rFonts w:hAnsi="宋体"/>
          <w:b/>
          <w:bCs/>
          <w:color w:val="auto"/>
          <w:sz w:val="30"/>
          <w:szCs w:val="30"/>
          <w:highlight w:val="none"/>
        </w:rPr>
      </w:pPr>
      <w:r>
        <w:rPr>
          <w:rFonts w:hint="eastAsia" w:hAnsi="宋体"/>
          <w:b/>
          <w:bCs/>
          <w:color w:val="auto"/>
          <w:sz w:val="30"/>
          <w:szCs w:val="30"/>
          <w:highlight w:val="none"/>
        </w:rPr>
        <w:t>采   购   人：</w:t>
      </w:r>
      <w:r>
        <w:rPr>
          <w:rFonts w:hint="eastAsia" w:hAnsi="宋体"/>
          <w:b/>
          <w:bCs/>
          <w:color w:val="auto"/>
          <w:sz w:val="30"/>
          <w:szCs w:val="30"/>
          <w:highlight w:val="none"/>
          <w:u w:val="single"/>
        </w:rPr>
        <w:t xml:space="preserve">                      </w:t>
      </w:r>
    </w:p>
    <w:p w14:paraId="68FCC2EA">
      <w:pPr>
        <w:pStyle w:val="16"/>
        <w:adjustRightInd w:val="0"/>
        <w:snapToGrid w:val="0"/>
        <w:spacing w:line="360" w:lineRule="auto"/>
        <w:ind w:firstLine="1988" w:firstLineChars="660"/>
        <w:rPr>
          <w:rFonts w:hAnsi="宋体"/>
          <w:b/>
          <w:bCs/>
          <w:color w:val="auto"/>
          <w:sz w:val="30"/>
          <w:szCs w:val="30"/>
          <w:highlight w:val="none"/>
          <w:u w:val="single"/>
        </w:rPr>
      </w:pPr>
      <w:r>
        <w:rPr>
          <w:rFonts w:hint="eastAsia" w:hAnsi="宋体"/>
          <w:b/>
          <w:bCs/>
          <w:color w:val="auto"/>
          <w:sz w:val="30"/>
          <w:szCs w:val="30"/>
          <w:highlight w:val="none"/>
        </w:rPr>
        <w:t>采购代理编号:</w:t>
      </w:r>
      <w:r>
        <w:rPr>
          <w:rFonts w:hint="eastAsia" w:hAnsi="宋体"/>
          <w:b/>
          <w:bCs/>
          <w:color w:val="auto"/>
          <w:sz w:val="30"/>
          <w:szCs w:val="30"/>
          <w:highlight w:val="none"/>
          <w:u w:val="single"/>
        </w:rPr>
        <w:t xml:space="preserve">                       </w:t>
      </w:r>
    </w:p>
    <w:p w14:paraId="6FE115C3">
      <w:pPr>
        <w:pStyle w:val="16"/>
        <w:adjustRightInd w:val="0"/>
        <w:snapToGrid w:val="0"/>
        <w:spacing w:line="360" w:lineRule="auto"/>
        <w:ind w:firstLine="1988" w:firstLineChars="660"/>
        <w:rPr>
          <w:rFonts w:hAnsi="宋体"/>
          <w:b/>
          <w:bCs/>
          <w:color w:val="auto"/>
          <w:sz w:val="30"/>
          <w:szCs w:val="30"/>
          <w:highlight w:val="none"/>
          <w:u w:val="single"/>
        </w:rPr>
      </w:pPr>
      <w:r>
        <w:rPr>
          <w:rFonts w:hint="eastAsia" w:hAnsi="宋体"/>
          <w:b/>
          <w:bCs/>
          <w:color w:val="auto"/>
          <w:sz w:val="30"/>
          <w:szCs w:val="30"/>
          <w:highlight w:val="none"/>
        </w:rPr>
        <w:t>采购代理机构：</w:t>
      </w:r>
      <w:r>
        <w:rPr>
          <w:rFonts w:hint="eastAsia" w:hAnsi="宋体"/>
          <w:b/>
          <w:bCs/>
          <w:color w:val="auto"/>
          <w:sz w:val="30"/>
          <w:szCs w:val="30"/>
          <w:highlight w:val="none"/>
          <w:u w:val="single"/>
        </w:rPr>
        <w:t xml:space="preserve">                      </w:t>
      </w:r>
    </w:p>
    <w:p w14:paraId="175807D6">
      <w:pPr>
        <w:adjustRightInd w:val="0"/>
        <w:snapToGrid w:val="0"/>
        <w:spacing w:line="360" w:lineRule="auto"/>
        <w:rPr>
          <w:rFonts w:ascii="黑体" w:hAnsi="黑体" w:eastAsia="黑体"/>
          <w:color w:val="auto"/>
          <w:sz w:val="30"/>
          <w:szCs w:val="30"/>
          <w:highlight w:val="none"/>
        </w:rPr>
      </w:pPr>
    </w:p>
    <w:p w14:paraId="46706013">
      <w:pPr>
        <w:adjustRightInd w:val="0"/>
        <w:snapToGrid w:val="0"/>
        <w:rPr>
          <w:rFonts w:ascii="黑体" w:hAnsi="宋体" w:eastAsia="黑体"/>
          <w:color w:val="auto"/>
          <w:sz w:val="30"/>
          <w:szCs w:val="30"/>
          <w:highlight w:val="none"/>
        </w:rPr>
      </w:pPr>
    </w:p>
    <w:p w14:paraId="084923AA">
      <w:pPr>
        <w:adjustRightInd w:val="0"/>
        <w:snapToGrid w:val="0"/>
        <w:spacing w:line="360" w:lineRule="auto"/>
        <w:rPr>
          <w:rFonts w:ascii="黑体" w:hAnsi="宋体" w:eastAsia="黑体"/>
          <w:color w:val="auto"/>
          <w:sz w:val="30"/>
          <w:szCs w:val="30"/>
          <w:highlight w:val="none"/>
        </w:rPr>
      </w:pPr>
    </w:p>
    <w:p w14:paraId="5F98C2C6">
      <w:pPr>
        <w:adjustRightInd w:val="0"/>
        <w:snapToGrid w:val="0"/>
        <w:spacing w:line="360" w:lineRule="auto"/>
        <w:rPr>
          <w:rFonts w:ascii="黑体" w:hAnsi="宋体" w:eastAsia="黑体"/>
          <w:color w:val="auto"/>
          <w:sz w:val="30"/>
          <w:szCs w:val="30"/>
          <w:highlight w:val="none"/>
        </w:rPr>
      </w:pPr>
    </w:p>
    <w:p w14:paraId="14BCCB86">
      <w:pPr>
        <w:adjustRightInd w:val="0"/>
        <w:snapToGrid w:val="0"/>
        <w:spacing w:line="360" w:lineRule="auto"/>
        <w:rPr>
          <w:rFonts w:ascii="黑体" w:hAnsi="宋体" w:eastAsia="黑体"/>
          <w:color w:val="auto"/>
          <w:sz w:val="30"/>
          <w:szCs w:val="30"/>
          <w:highlight w:val="none"/>
        </w:rPr>
      </w:pPr>
    </w:p>
    <w:p w14:paraId="59111E5B">
      <w:pPr>
        <w:adjustRightInd w:val="0"/>
        <w:snapToGrid w:val="0"/>
        <w:spacing w:line="360" w:lineRule="auto"/>
        <w:ind w:firstLine="1984" w:firstLineChars="620"/>
        <w:rPr>
          <w:rFonts w:ascii="黑体" w:hAnsi="黑体" w:eastAsia="黑体"/>
          <w:color w:val="auto"/>
          <w:sz w:val="32"/>
          <w:szCs w:val="32"/>
          <w:highlight w:val="none"/>
          <w:u w:val="single"/>
        </w:rPr>
      </w:pPr>
      <w:r>
        <w:rPr>
          <w:rFonts w:hint="eastAsia" w:ascii="黑体" w:hAnsi="黑体" w:eastAsia="黑体"/>
          <w:color w:val="auto"/>
          <w:sz w:val="32"/>
          <w:szCs w:val="32"/>
          <w:highlight w:val="none"/>
        </w:rPr>
        <w:t>供应商</w:t>
      </w:r>
      <w:r>
        <w:rPr>
          <w:rFonts w:hint="eastAsia" w:ascii="黑体" w:hAnsi="黑体" w:eastAsia="黑体"/>
          <w:color w:val="auto"/>
          <w:sz w:val="32"/>
          <w:szCs w:val="32"/>
          <w:highlight w:val="none"/>
          <w:u w:val="single"/>
        </w:rPr>
        <w:t xml:space="preserve">                         </w:t>
      </w:r>
    </w:p>
    <w:p w14:paraId="27303837">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年  月  日</w:t>
      </w:r>
    </w:p>
    <w:p w14:paraId="61A43230">
      <w:pPr>
        <w:rPr>
          <w:rFonts w:hint="eastAsia" w:ascii="仿宋" w:hAnsi="仿宋" w:eastAsia="仿宋" w:cs="仿宋"/>
          <w:color w:val="auto"/>
          <w:sz w:val="27"/>
          <w:szCs w:val="27"/>
        </w:rPr>
      </w:pPr>
    </w:p>
    <w:p w14:paraId="5AC43C44">
      <w:pPr>
        <w:rPr>
          <w:rFonts w:hint="eastAsia" w:ascii="仿宋" w:hAnsi="仿宋" w:eastAsia="仿宋" w:cs="仿宋"/>
          <w:color w:val="auto"/>
          <w:sz w:val="27"/>
          <w:szCs w:val="27"/>
        </w:rPr>
      </w:pPr>
    </w:p>
    <w:p w14:paraId="1F20277C">
      <w:pPr>
        <w:rPr>
          <w:rFonts w:hint="eastAsia" w:ascii="仿宋" w:hAnsi="仿宋" w:eastAsia="仿宋" w:cs="仿宋"/>
          <w:color w:val="auto"/>
          <w:sz w:val="27"/>
          <w:szCs w:val="27"/>
        </w:rPr>
      </w:pPr>
    </w:p>
    <w:p w14:paraId="2777F7DE">
      <w:pPr>
        <w:pStyle w:val="11"/>
        <w:rPr>
          <w:rFonts w:hint="eastAsia"/>
        </w:rPr>
      </w:pPr>
    </w:p>
    <w:p w14:paraId="18755C28">
      <w:pPr>
        <w:rPr>
          <w:rFonts w:hint="eastAsia" w:ascii="仿宋" w:hAnsi="仿宋" w:eastAsia="仿宋" w:cs="仿宋"/>
          <w:color w:val="auto"/>
          <w:szCs w:val="21"/>
        </w:rPr>
      </w:pPr>
    </w:p>
    <w:p w14:paraId="5B7DFAEF">
      <w:pPr>
        <w:adjustRightInd w:val="0"/>
        <w:snapToGrid w:val="0"/>
        <w:spacing w:line="360" w:lineRule="auto"/>
        <w:jc w:val="center"/>
        <w:outlineLvl w:val="1"/>
        <w:rPr>
          <w:rFonts w:hint="eastAsia" w:ascii="仿宋" w:hAnsi="仿宋" w:eastAsia="仿宋" w:cs="仿宋"/>
          <w:b/>
          <w:color w:val="auto"/>
          <w:sz w:val="32"/>
          <w:szCs w:val="32"/>
          <w:highlight w:val="none"/>
        </w:rPr>
      </w:pPr>
      <w:bookmarkStart w:id="174" w:name="_Toc11898"/>
      <w:bookmarkStart w:id="175" w:name="_Toc16763"/>
      <w:r>
        <w:rPr>
          <w:rFonts w:hint="eastAsia" w:ascii="仿宋" w:hAnsi="仿宋" w:eastAsia="仿宋" w:cs="仿宋"/>
          <w:b/>
          <w:color w:val="auto"/>
          <w:sz w:val="32"/>
          <w:szCs w:val="32"/>
          <w:highlight w:val="none"/>
        </w:rPr>
        <w:t>一、响应声明</w:t>
      </w:r>
      <w:bookmarkEnd w:id="174"/>
      <w:bookmarkEnd w:id="175"/>
    </w:p>
    <w:p w14:paraId="14E1B50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(采购人或采购代理机构)：</w:t>
      </w:r>
    </w:p>
    <w:p w14:paraId="4F33559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我方已仔细研究了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采购</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代理编号：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）的全部内容，知悉参加的风险，我方承诺接受</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的全部条款且无任何异议。</w:t>
      </w:r>
    </w:p>
    <w:p w14:paraId="1DA02948">
      <w:pPr>
        <w:pStyle w:val="16"/>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一、我方同意在</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中规定的提交首次响应文件截止时间起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90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日内(响应文件有效期)遵守本响应文件中的承诺且在此期限期满之前均具有法律约束力。</w:t>
      </w:r>
    </w:p>
    <w:p w14:paraId="0ED24E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二、我方提交响应文</w:t>
      </w:r>
      <w:r>
        <w:rPr>
          <w:rFonts w:hint="eastAsia" w:ascii="仿宋" w:hAnsi="仿宋" w:eastAsia="仿宋" w:cs="仿宋"/>
          <w:color w:val="auto"/>
          <w:sz w:val="21"/>
          <w:szCs w:val="21"/>
          <w:highlight w:val="none"/>
          <w:lang w:eastAsia="zh-CN"/>
        </w:rPr>
        <w:t>件</w:t>
      </w:r>
      <w:r>
        <w:rPr>
          <w:rFonts w:hint="eastAsia" w:ascii="仿宋" w:hAnsi="仿宋" w:eastAsia="仿宋" w:cs="仿宋"/>
          <w:color w:val="auto"/>
          <w:sz w:val="21"/>
          <w:szCs w:val="21"/>
          <w:highlight w:val="none"/>
        </w:rPr>
        <w:t>，并保证响应文件提供的数据和资料全部内容真实、合法、准确和完整，我们对此负责，并愿承担由此引起的法律责任。</w:t>
      </w:r>
    </w:p>
    <w:p w14:paraId="5108CB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三、我方愿意向贵方提供任何与本项采购有关的数据、情况和技术资料。若贵方需要，我方愿意提供我方作出的一切承诺的证明资料。</w:t>
      </w:r>
    </w:p>
    <w:p w14:paraId="08577D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四、我方愿意按</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规定和</w:t>
      </w:r>
      <w:r>
        <w:rPr>
          <w:rFonts w:hint="eastAsia" w:ascii="仿宋" w:hAnsi="仿宋" w:eastAsia="仿宋" w:cs="仿宋"/>
          <w:color w:val="auto"/>
          <w:sz w:val="21"/>
          <w:szCs w:val="21"/>
          <w:highlight w:val="none"/>
          <w:lang w:eastAsia="zh-CN"/>
        </w:rPr>
        <w:t>评审小组</w:t>
      </w:r>
      <w:r>
        <w:rPr>
          <w:rFonts w:hint="eastAsia" w:ascii="仿宋" w:hAnsi="仿宋" w:eastAsia="仿宋" w:cs="仿宋"/>
          <w:color w:val="auto"/>
          <w:sz w:val="21"/>
          <w:szCs w:val="21"/>
          <w:highlight w:val="none"/>
        </w:rPr>
        <w:t>要求重新提交响应文件和</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rPr>
        <w:t>。</w:t>
      </w:r>
    </w:p>
    <w:p w14:paraId="130042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五、我方承诺遵守有关规定，保证在获得成交资格后，按照</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确定的事项签订</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合同，履行双方所签订的合同，并承担合同规定的责任和义务。</w:t>
      </w:r>
    </w:p>
    <w:p w14:paraId="3F06F3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六、我方在此声明： </w:t>
      </w:r>
    </w:p>
    <w:p w14:paraId="40863A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（一）我方与采购人或采购代理机构不存在隶属关系或者其他利害关系。</w:t>
      </w:r>
    </w:p>
    <w:p w14:paraId="492342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（二）我方与参加本项目的其他供应商不存在直接控股、管理关系，或者与其他供应商法定代表人（或者负责人）为同一人。</w:t>
      </w:r>
    </w:p>
    <w:p w14:paraId="565D8B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（三）我方未为本项目前期准备提供设计或咨询服务。</w:t>
      </w:r>
    </w:p>
    <w:p w14:paraId="5FFF20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（四）我方承诺（承诺期：成立三年以上的，为提交首次响应文件截止时间前三年内；成立不足三年的，为实际时间）：</w:t>
      </w:r>
    </w:p>
    <w:p w14:paraId="452119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1、我方依法缴纳了各项税费及各项社会保障资金，没有偷税、漏税及欠缴行为。</w:t>
      </w:r>
    </w:p>
    <w:p w14:paraId="07846F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2、我方在经营活动中没有存在下列重大违法记录：</w:t>
      </w:r>
    </w:p>
    <w:p w14:paraId="20DC20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(1)受到刑事处罚；</w:t>
      </w:r>
    </w:p>
    <w:p w14:paraId="6F430F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(2)受到</w:t>
      </w:r>
      <w:r>
        <w:rPr>
          <w:rFonts w:hint="eastAsia" w:ascii="仿宋" w:hAnsi="仿宋" w:eastAsia="仿宋" w:cs="仿宋"/>
          <w:color w:val="auto"/>
          <w:sz w:val="21"/>
          <w:szCs w:val="21"/>
          <w:highlight w:val="none"/>
          <w:lang w:eastAsia="zh-CN"/>
        </w:rPr>
        <w:t>较大</w:t>
      </w:r>
      <w:r>
        <w:rPr>
          <w:rFonts w:hint="eastAsia" w:ascii="仿宋" w:hAnsi="仿宋" w:eastAsia="仿宋" w:cs="仿宋"/>
          <w:color w:val="auto"/>
          <w:sz w:val="21"/>
          <w:szCs w:val="21"/>
          <w:highlight w:val="none"/>
        </w:rPr>
        <w:t>的罚款、责令停产停业、在一至三年内禁止参加</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活动、暂扣或者吊销许可证、暂扣或者吊销执照的行政处罚。</w:t>
      </w:r>
    </w:p>
    <w:p w14:paraId="2C2117BB">
      <w:pPr>
        <w:rPr>
          <w:rFonts w:hint="eastAsia" w:ascii="仿宋" w:hAnsi="仿宋" w:eastAsia="仿宋" w:cs="仿宋"/>
          <w:color w:val="auto"/>
          <w:highlight w:val="none"/>
        </w:rPr>
      </w:pPr>
    </w:p>
    <w:p w14:paraId="42EBB5F6">
      <w:pPr>
        <w:adjustRightInd w:val="0"/>
        <w:snapToGrid w:val="0"/>
        <w:spacing w:line="360" w:lineRule="auto"/>
        <w:ind w:right="24"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附件1</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t>法定代表人身份证明(法定代表人参加)</w:t>
      </w:r>
    </w:p>
    <w:p w14:paraId="0ABB1E4C">
      <w:pPr>
        <w:adjustRightInd w:val="0"/>
        <w:snapToGrid w:val="0"/>
        <w:spacing w:line="360" w:lineRule="auto"/>
        <w:ind w:right="24"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附件</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2</w:t>
      </w:r>
      <w:r>
        <w:rPr>
          <w:rFonts w:hint="eastAsia" w:ascii="仿宋" w:hAnsi="仿宋" w:eastAsia="仿宋" w:cs="仿宋"/>
          <w:color w:val="auto"/>
          <w:sz w:val="21"/>
          <w:szCs w:val="21"/>
          <w:highlight w:val="none"/>
        </w:rPr>
        <w:t>：法定代表人授权书(委托代理人参加)</w:t>
      </w:r>
    </w:p>
    <w:p w14:paraId="5A4BC6CF">
      <w:pPr>
        <w:pStyle w:val="16"/>
        <w:adjustRightInd w:val="0"/>
        <w:snapToGrid w:val="0"/>
        <w:spacing w:line="360" w:lineRule="auto"/>
        <w:outlineLvl w:val="9"/>
        <w:rPr>
          <w:rFonts w:hint="eastAsia" w:ascii="仿宋" w:hAnsi="仿宋" w:eastAsia="仿宋" w:cs="仿宋"/>
          <w:color w:val="auto"/>
          <w:sz w:val="21"/>
          <w:szCs w:val="21"/>
          <w:highlight w:val="none"/>
        </w:rPr>
      </w:pPr>
    </w:p>
    <w:p w14:paraId="753B7F94">
      <w:pPr>
        <w:pStyle w:val="16"/>
        <w:adjustRightInd w:val="0"/>
        <w:snapToGrid w:val="0"/>
        <w:spacing w:line="360" w:lineRule="auto"/>
        <w:ind w:firstLine="4410" w:firstLineChars="21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供应商名称(盖单位章)：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0305CB67">
      <w:pPr>
        <w:adjustRightInd w:val="0"/>
        <w:snapToGrid w:val="0"/>
        <w:spacing w:line="360" w:lineRule="auto"/>
        <w:ind w:firstLine="4410" w:firstLineChars="21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法定代表人或委托代理人 (签字)：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58ADCE26">
      <w:pPr>
        <w:ind w:firstLine="4410" w:firstLineChars="2100"/>
        <w:rPr>
          <w:rFonts w:hint="eastAsia" w:ascii="仿宋" w:hAnsi="仿宋" w:eastAsia="仿宋" w:cs="仿宋"/>
          <w:color w:val="auto"/>
        </w:rPr>
      </w:pP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2E6B355A">
      <w:pPr>
        <w:rPr>
          <w:rFonts w:hint="eastAsia" w:ascii="仿宋" w:hAnsi="仿宋" w:eastAsia="仿宋" w:cs="仿宋"/>
          <w:bCs/>
          <w:color w:val="auto"/>
          <w:szCs w:val="21"/>
          <w:highlight w:val="none"/>
        </w:rPr>
      </w:pPr>
    </w:p>
    <w:p w14:paraId="4CBD6954">
      <w:pPr>
        <w:rPr>
          <w:rFonts w:hint="eastAsia" w:ascii="仿宋" w:hAnsi="仿宋" w:eastAsia="仿宋" w:cs="仿宋"/>
          <w:color w:val="auto"/>
          <w:sz w:val="28"/>
          <w:szCs w:val="28"/>
          <w:highlight w:val="none"/>
        </w:rPr>
      </w:pPr>
      <w:bookmarkStart w:id="176" w:name="_Toc14063"/>
      <w:bookmarkStart w:id="177" w:name="_Toc18440"/>
      <w:r>
        <w:rPr>
          <w:rFonts w:hint="eastAsia" w:ascii="仿宋" w:hAnsi="仿宋" w:eastAsia="仿宋" w:cs="仿宋"/>
          <w:color w:val="auto"/>
          <w:sz w:val="28"/>
          <w:szCs w:val="28"/>
          <w:highlight w:val="none"/>
        </w:rPr>
        <w:br w:type="page"/>
      </w:r>
    </w:p>
    <w:p w14:paraId="4ABCA162">
      <w:pPr>
        <w:pStyle w:val="4"/>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法定代表人身份证明(法定代表人参加)</w:t>
      </w:r>
      <w:bookmarkEnd w:id="176"/>
      <w:bookmarkEnd w:id="177"/>
    </w:p>
    <w:p w14:paraId="3722DF8D">
      <w:pPr>
        <w:rPr>
          <w:rFonts w:hint="eastAsia" w:ascii="仿宋" w:hAnsi="仿宋" w:eastAsia="仿宋" w:cs="仿宋"/>
          <w:color w:val="auto"/>
          <w:sz w:val="21"/>
          <w:szCs w:val="21"/>
          <w:highlight w:val="none"/>
          <w:lang w:eastAsia="zh-CN"/>
        </w:rPr>
      </w:pPr>
    </w:p>
    <w:p w14:paraId="08BBFF26">
      <w:pPr>
        <w:spacing w:line="360" w:lineRule="auto"/>
        <w:jc w:val="center"/>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法定代表人身份证明(法定代表人参加)</w:t>
      </w:r>
    </w:p>
    <w:p w14:paraId="7FB6BCA8">
      <w:pPr>
        <w:rPr>
          <w:rFonts w:hint="eastAsia" w:ascii="仿宋" w:hAnsi="仿宋" w:eastAsia="仿宋" w:cs="仿宋"/>
          <w:color w:val="auto"/>
          <w:highlight w:val="none"/>
        </w:rPr>
      </w:pPr>
    </w:p>
    <w:p w14:paraId="4F333CB2">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供应商</w:t>
      </w:r>
      <w:r>
        <w:rPr>
          <w:rFonts w:hint="eastAsia" w:ascii="仿宋" w:hAnsi="仿宋" w:eastAsia="仿宋" w:cs="仿宋"/>
          <w:color w:val="auto"/>
          <w:kern w:val="0"/>
          <w:sz w:val="21"/>
          <w:szCs w:val="21"/>
          <w:highlight w:val="none"/>
        </w:rPr>
        <w:t>名称：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p>
    <w:p w14:paraId="0C63C842">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统一社会信用代码：</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p>
    <w:p w14:paraId="244157ED">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注册地址：</w:t>
      </w:r>
      <w:r>
        <w:rPr>
          <w:rFonts w:hint="eastAsia" w:ascii="仿宋" w:hAnsi="仿宋" w:eastAsia="仿宋" w:cs="仿宋"/>
          <w:color w:val="auto"/>
          <w:kern w:val="0"/>
          <w:sz w:val="21"/>
          <w:szCs w:val="21"/>
          <w:highlight w:val="none"/>
          <w:u w:val="single"/>
        </w:rPr>
        <w:t xml:space="preserve">                      </w:t>
      </w:r>
    </w:p>
    <w:p w14:paraId="1BE45313">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成立时间：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日</w:t>
      </w:r>
    </w:p>
    <w:p w14:paraId="5B757909">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经营期限：</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p>
    <w:p w14:paraId="6426DB1C">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u w:val="none"/>
          <w:lang w:eastAsia="zh-CN"/>
        </w:rPr>
      </w:pPr>
      <w:r>
        <w:rPr>
          <w:rFonts w:hint="eastAsia" w:ascii="仿宋" w:hAnsi="仿宋" w:eastAsia="仿宋" w:cs="仿宋"/>
          <w:color w:val="auto"/>
          <w:kern w:val="0"/>
          <w:sz w:val="21"/>
          <w:szCs w:val="21"/>
          <w:highlight w:val="none"/>
        </w:rPr>
        <w:t>经营范围：主营：</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；兼营：</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none"/>
          <w:lang w:eastAsia="zh-CN"/>
        </w:rPr>
        <w:t>。</w:t>
      </w:r>
    </w:p>
    <w:p w14:paraId="57B9FF05">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姓名：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 性别：</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 年龄：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 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供应商</w:t>
      </w:r>
      <w:r>
        <w:rPr>
          <w:rFonts w:hint="eastAsia" w:ascii="仿宋" w:hAnsi="仿宋" w:eastAsia="仿宋" w:cs="仿宋"/>
          <w:color w:val="auto"/>
          <w:kern w:val="0"/>
          <w:sz w:val="21"/>
          <w:szCs w:val="21"/>
          <w:highlight w:val="none"/>
        </w:rPr>
        <w:t>名称）的法定代表人。</w:t>
      </w:r>
    </w:p>
    <w:p w14:paraId="02F2E8C1">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特此证明。</w:t>
      </w:r>
    </w:p>
    <w:p w14:paraId="2EC58638">
      <w:pPr>
        <w:keepNext w:val="0"/>
        <w:keepLines w:val="0"/>
        <w:pageBreakBefore w:val="0"/>
        <w:kinsoku/>
        <w:wordWrap/>
        <w:overflowPunct/>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附：法定代表人身份证复印件</w:t>
      </w:r>
    </w:p>
    <w:tbl>
      <w:tblPr>
        <w:tblStyle w:val="26"/>
        <w:tblW w:w="4893" w:type="pct"/>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autofit"/>
        <w:tblCellMar>
          <w:top w:w="0" w:type="dxa"/>
          <w:left w:w="108" w:type="dxa"/>
          <w:bottom w:w="0" w:type="dxa"/>
          <w:right w:w="108" w:type="dxa"/>
        </w:tblCellMar>
      </w:tblPr>
      <w:tblGrid>
        <w:gridCol w:w="9310"/>
      </w:tblGrid>
      <w:tr w14:paraId="5493D22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471" w:hRule="atLeast"/>
          <w:jc w:val="center"/>
        </w:trPr>
        <w:tc>
          <w:tcPr>
            <w:tcW w:w="5000" w:type="pct"/>
            <w:tcBorders>
              <w:top w:val="single" w:color="auto" w:sz="12" w:space="0"/>
              <w:bottom w:val="single" w:color="auto" w:sz="12" w:space="0"/>
            </w:tcBorders>
            <w:noWrap w:val="0"/>
            <w:vAlign w:val="center"/>
          </w:tcPr>
          <w:p w14:paraId="0B71791A">
            <w:pPr>
              <w:keepNext w:val="0"/>
              <w:keepLines w:val="0"/>
              <w:pageBreakBefore w:val="0"/>
              <w:widowControl/>
              <w:kinsoku/>
              <w:wordWrap/>
              <w:overflowPunct/>
              <w:topLinePunct/>
              <w:autoSpaceDE/>
              <w:autoSpaceDN/>
              <w:bidi w:val="0"/>
              <w:adjustRightInd/>
              <w:snapToGrid/>
              <w:spacing w:line="360" w:lineRule="auto"/>
              <w:ind w:firstLine="4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法定代表人身份证复印件</w:t>
            </w:r>
          </w:p>
        </w:tc>
      </w:tr>
    </w:tbl>
    <w:p w14:paraId="45180402">
      <w:pPr>
        <w:keepNext w:val="0"/>
        <w:keepLines w:val="0"/>
        <w:pageBreakBefore w:val="0"/>
        <w:kinsoku/>
        <w:wordWrap/>
        <w:overflowPunct/>
        <w:bidi w:val="0"/>
        <w:snapToGrid w:val="0"/>
        <w:spacing w:line="360" w:lineRule="auto"/>
        <w:textAlignment w:val="auto"/>
        <w:outlineLvl w:val="9"/>
        <w:rPr>
          <w:rFonts w:hint="eastAsia" w:ascii="仿宋" w:hAnsi="仿宋" w:eastAsia="仿宋" w:cs="仿宋"/>
          <w:color w:val="auto"/>
          <w:sz w:val="21"/>
          <w:szCs w:val="21"/>
          <w:highlight w:val="none"/>
        </w:rPr>
      </w:pPr>
    </w:p>
    <w:p w14:paraId="244FF7A9">
      <w:pPr>
        <w:adjustRightInd w:val="0"/>
        <w:snapToGrid w:val="0"/>
        <w:spacing w:line="360" w:lineRule="auto"/>
        <w:outlineLvl w:val="9"/>
        <w:rPr>
          <w:rFonts w:hint="eastAsia" w:ascii="仿宋" w:hAnsi="仿宋" w:eastAsia="仿宋" w:cs="仿宋"/>
          <w:color w:val="auto"/>
          <w:sz w:val="24"/>
          <w:szCs w:val="24"/>
          <w:highlight w:val="none"/>
        </w:rPr>
      </w:pPr>
    </w:p>
    <w:p w14:paraId="4B9A81BA">
      <w:pPr>
        <w:adjustRightInd w:val="0"/>
        <w:snapToGrid w:val="0"/>
        <w:spacing w:line="360" w:lineRule="auto"/>
        <w:ind w:right="58" w:rightChars="0" w:firstLine="5040" w:firstLineChars="2400"/>
        <w:outlineLvl w:val="9"/>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rPr>
        <w:t>供应商名称（盖单位章）：</w:t>
      </w:r>
      <w:r>
        <w:rPr>
          <w:rFonts w:hint="eastAsia" w:ascii="仿宋" w:hAnsi="仿宋" w:eastAsia="仿宋" w:cs="仿宋"/>
          <w:color w:val="auto"/>
          <w:sz w:val="21"/>
          <w:szCs w:val="21"/>
          <w:highlight w:val="none"/>
          <w:u w:val="single"/>
          <w:lang w:val="en-US" w:eastAsia="zh-CN"/>
        </w:rPr>
        <w:t xml:space="preserve">                </w:t>
      </w:r>
    </w:p>
    <w:p w14:paraId="543BFB1E">
      <w:pPr>
        <w:spacing w:line="360" w:lineRule="auto"/>
        <w:ind w:firstLine="5040" w:firstLineChars="24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1F3C7FB7">
      <w:pPr>
        <w:spacing w:line="360" w:lineRule="auto"/>
        <w:ind w:firstLine="5040" w:firstLineChars="2400"/>
        <w:outlineLvl w:val="9"/>
        <w:rPr>
          <w:rFonts w:hint="eastAsia" w:ascii="仿宋" w:hAnsi="仿宋" w:eastAsia="仿宋" w:cs="仿宋"/>
          <w:color w:val="auto"/>
          <w:sz w:val="21"/>
          <w:szCs w:val="21"/>
          <w:highlight w:val="none"/>
        </w:rPr>
      </w:pPr>
    </w:p>
    <w:p w14:paraId="20B03664">
      <w:pPr>
        <w:spacing w:line="360" w:lineRule="auto"/>
        <w:outlineLvl w:val="9"/>
        <w:rPr>
          <w:rFonts w:hint="eastAsia" w:ascii="仿宋" w:hAnsi="仿宋" w:eastAsia="仿宋" w:cs="仿宋"/>
          <w:color w:val="auto"/>
          <w:szCs w:val="21"/>
          <w:highlight w:val="none"/>
        </w:rPr>
      </w:pPr>
    </w:p>
    <w:p w14:paraId="36C512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1"/>
          <w:szCs w:val="21"/>
          <w:highlight w:val="none"/>
          <w:u w:val="none"/>
          <w:lang w:val="en-US" w:eastAsia="zh-CN"/>
        </w:rPr>
      </w:pPr>
    </w:p>
    <w:p w14:paraId="65DED7DF">
      <w:pPr>
        <w:spacing w:line="360" w:lineRule="auto"/>
        <w:outlineLvl w:val="9"/>
        <w:rPr>
          <w:rFonts w:hint="eastAsia" w:ascii="仿宋" w:hAnsi="仿宋" w:eastAsia="仿宋" w:cs="仿宋"/>
          <w:color w:val="auto"/>
          <w:szCs w:val="21"/>
          <w:highlight w:val="none"/>
        </w:rPr>
      </w:pPr>
    </w:p>
    <w:p w14:paraId="2AEB8C4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BA6D579">
      <w:pPr>
        <w:pStyle w:val="4"/>
        <w:bidi w:val="0"/>
        <w:spacing w:line="360" w:lineRule="auto"/>
        <w:rPr>
          <w:rFonts w:hint="eastAsia" w:ascii="仿宋" w:hAnsi="仿宋" w:eastAsia="仿宋" w:cs="仿宋"/>
          <w:color w:val="auto"/>
          <w:sz w:val="28"/>
          <w:szCs w:val="28"/>
          <w:highlight w:val="none"/>
          <w:lang w:val="en-US" w:eastAsia="zh-CN"/>
        </w:rPr>
      </w:pPr>
      <w:bookmarkStart w:id="178" w:name="_Toc25323"/>
      <w:bookmarkStart w:id="179" w:name="_Toc10680"/>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法定代表人授权书(委托代理人参加)</w:t>
      </w:r>
      <w:bookmarkEnd w:id="178"/>
      <w:bookmarkEnd w:id="179"/>
    </w:p>
    <w:p w14:paraId="2364BAD8">
      <w:pPr>
        <w:rPr>
          <w:rFonts w:hint="eastAsia" w:ascii="仿宋" w:hAnsi="仿宋" w:eastAsia="仿宋" w:cs="仿宋"/>
          <w:color w:val="auto"/>
          <w:sz w:val="21"/>
          <w:szCs w:val="21"/>
          <w:highlight w:val="none"/>
          <w:lang w:val="en-US" w:eastAsia="zh-CN"/>
        </w:rPr>
      </w:pPr>
    </w:p>
    <w:p w14:paraId="66C548F0">
      <w:pPr>
        <w:spacing w:line="360" w:lineRule="auto"/>
        <w:jc w:val="center"/>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法定代表人授权书(委托代理人参加)</w:t>
      </w:r>
    </w:p>
    <w:p w14:paraId="3298E148">
      <w:pPr>
        <w:rPr>
          <w:rFonts w:hint="eastAsia" w:ascii="仿宋" w:hAnsi="仿宋" w:eastAsia="仿宋" w:cs="仿宋"/>
          <w:color w:val="auto"/>
          <w:highlight w:val="none"/>
        </w:rPr>
      </w:pPr>
    </w:p>
    <w:p w14:paraId="409A3E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（姓名、职务）系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供应商</w:t>
      </w:r>
      <w:r>
        <w:rPr>
          <w:rFonts w:hint="eastAsia" w:ascii="仿宋" w:hAnsi="仿宋" w:eastAsia="仿宋" w:cs="仿宋"/>
          <w:color w:val="auto"/>
          <w:kern w:val="0"/>
          <w:sz w:val="21"/>
          <w:szCs w:val="21"/>
          <w:highlight w:val="none"/>
        </w:rPr>
        <w:t>名称）的法定代表人，现授权</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（姓名、职务）为我方代理人。代理人根据授权，以我方名义：(1)签署、澄清、补正、修改、撤回、提交</w:t>
      </w:r>
    </w:p>
    <w:p w14:paraId="0FEC2A9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项目名称、</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编号</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代理编号）响应文件；(2)签署并重新提交响应文件及</w:t>
      </w:r>
      <w:r>
        <w:rPr>
          <w:rFonts w:hint="eastAsia" w:ascii="仿宋" w:hAnsi="仿宋" w:eastAsia="仿宋" w:cs="仿宋"/>
          <w:color w:val="auto"/>
          <w:kern w:val="0"/>
          <w:sz w:val="21"/>
          <w:szCs w:val="21"/>
          <w:highlight w:val="none"/>
          <w:lang w:eastAsia="zh-CN"/>
        </w:rPr>
        <w:t>报价</w:t>
      </w:r>
      <w:r>
        <w:rPr>
          <w:rFonts w:hint="eastAsia" w:ascii="仿宋" w:hAnsi="仿宋" w:eastAsia="仿宋" w:cs="仿宋"/>
          <w:color w:val="auto"/>
          <w:kern w:val="0"/>
          <w:sz w:val="21"/>
          <w:szCs w:val="21"/>
          <w:highlight w:val="none"/>
        </w:rPr>
        <w:t>；(3)退出；(4)签订合同和处理有关事宜，其法律后果由我方承担。</w:t>
      </w:r>
    </w:p>
    <w:p w14:paraId="79FB4C2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委托期限：</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A2A5DC6">
      <w:pPr>
        <w:keepNext w:val="0"/>
        <w:keepLines w:val="0"/>
        <w:pageBreakBefore w:val="0"/>
        <w:widowControl w:val="0"/>
        <w:kinsoku/>
        <w:wordWrap/>
        <w:overflowPunct/>
        <w:topLinePunct w:val="0"/>
        <w:bidi w:val="0"/>
        <w:spacing w:line="360" w:lineRule="auto"/>
        <w:ind w:firstLine="435"/>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代理人无转委托权。</w:t>
      </w:r>
    </w:p>
    <w:p w14:paraId="45240CF9">
      <w:pPr>
        <w:keepNext w:val="0"/>
        <w:keepLines w:val="0"/>
        <w:pageBreakBefore w:val="0"/>
        <w:widowControl w:val="0"/>
        <w:kinsoku/>
        <w:wordWrap/>
        <w:overflowPunct/>
        <w:topLinePunct w:val="0"/>
        <w:bidi w:val="0"/>
        <w:spacing w:line="360" w:lineRule="auto"/>
        <w:ind w:firstLine="435"/>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本授权书于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日签字生效，特此声明。</w:t>
      </w:r>
    </w:p>
    <w:p w14:paraId="3A10847E">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附：委托代理人身份证复印件</w:t>
      </w:r>
    </w:p>
    <w:tbl>
      <w:tblPr>
        <w:tblStyle w:val="26"/>
        <w:tblW w:w="4858" w:type="pct"/>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autofit"/>
        <w:tblCellMar>
          <w:top w:w="0" w:type="dxa"/>
          <w:left w:w="108" w:type="dxa"/>
          <w:bottom w:w="0" w:type="dxa"/>
          <w:right w:w="108" w:type="dxa"/>
        </w:tblCellMar>
      </w:tblPr>
      <w:tblGrid>
        <w:gridCol w:w="9244"/>
      </w:tblGrid>
      <w:tr w14:paraId="1F4BC84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471" w:hRule="atLeast"/>
          <w:jc w:val="center"/>
        </w:trPr>
        <w:tc>
          <w:tcPr>
            <w:tcW w:w="5000" w:type="pct"/>
            <w:tcBorders>
              <w:top w:val="single" w:color="auto" w:sz="12" w:space="0"/>
              <w:bottom w:val="single" w:color="auto" w:sz="12" w:space="0"/>
            </w:tcBorders>
            <w:noWrap w:val="0"/>
            <w:vAlign w:val="center"/>
          </w:tcPr>
          <w:p w14:paraId="28838FC0">
            <w:pPr>
              <w:keepNext w:val="0"/>
              <w:keepLines w:val="0"/>
              <w:pageBreakBefore w:val="0"/>
              <w:widowControl/>
              <w:kinsoku/>
              <w:wordWrap/>
              <w:overflowPunct/>
              <w:topLinePunct/>
              <w:autoSpaceDE/>
              <w:autoSpaceDN/>
              <w:bidi w:val="0"/>
              <w:adjustRightInd/>
              <w:snapToGrid/>
              <w:spacing w:line="360" w:lineRule="auto"/>
              <w:ind w:firstLine="4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w:t>
            </w:r>
            <w:r>
              <w:rPr>
                <w:rFonts w:hint="eastAsia" w:ascii="仿宋" w:hAnsi="仿宋" w:eastAsia="仿宋" w:cs="仿宋"/>
                <w:color w:val="auto"/>
                <w:kern w:val="0"/>
                <w:sz w:val="21"/>
                <w:szCs w:val="21"/>
                <w:highlight w:val="none"/>
              </w:rPr>
              <w:t>人身份证复印件</w:t>
            </w:r>
          </w:p>
        </w:tc>
      </w:tr>
    </w:tbl>
    <w:p w14:paraId="625A274E">
      <w:pPr>
        <w:adjustRightInd w:val="0"/>
        <w:snapToGrid w:val="0"/>
        <w:spacing w:line="360" w:lineRule="auto"/>
        <w:ind w:right="420"/>
        <w:outlineLvl w:val="9"/>
        <w:rPr>
          <w:rFonts w:hint="eastAsia" w:ascii="仿宋" w:hAnsi="仿宋" w:eastAsia="仿宋" w:cs="仿宋"/>
          <w:color w:val="auto"/>
          <w:sz w:val="21"/>
          <w:szCs w:val="21"/>
          <w:highlight w:val="none"/>
        </w:rPr>
      </w:pPr>
    </w:p>
    <w:p w14:paraId="6578F13C">
      <w:pPr>
        <w:adjustRightInd w:val="0"/>
        <w:snapToGrid w:val="0"/>
        <w:spacing w:line="360" w:lineRule="auto"/>
        <w:ind w:right="420"/>
        <w:outlineLvl w:val="9"/>
        <w:rPr>
          <w:rFonts w:hint="eastAsia" w:ascii="仿宋" w:hAnsi="仿宋" w:eastAsia="仿宋" w:cs="仿宋"/>
          <w:color w:val="auto"/>
          <w:sz w:val="21"/>
          <w:szCs w:val="21"/>
          <w:highlight w:val="none"/>
        </w:rPr>
      </w:pPr>
    </w:p>
    <w:p w14:paraId="337EC48C">
      <w:pPr>
        <w:adjustRightInd w:val="0"/>
        <w:snapToGrid w:val="0"/>
        <w:spacing w:line="360" w:lineRule="auto"/>
        <w:ind w:firstLine="5040" w:firstLineChars="24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法定代表人（签字）：</w:t>
      </w:r>
      <w:r>
        <w:rPr>
          <w:rFonts w:hint="eastAsia" w:ascii="仿宋" w:hAnsi="仿宋" w:eastAsia="仿宋" w:cs="仿宋"/>
          <w:color w:val="auto"/>
          <w:sz w:val="21"/>
          <w:szCs w:val="21"/>
          <w:highlight w:val="none"/>
          <w:u w:val="single"/>
        </w:rPr>
        <w:t xml:space="preserve">                     </w:t>
      </w:r>
    </w:p>
    <w:p w14:paraId="33A06ED3">
      <w:pPr>
        <w:adjustRightInd w:val="0"/>
        <w:snapToGrid w:val="0"/>
        <w:spacing w:line="360" w:lineRule="auto"/>
        <w:ind w:firstLine="5040" w:firstLineChars="24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委托代理人（签字）：</w:t>
      </w:r>
      <w:r>
        <w:rPr>
          <w:rFonts w:hint="eastAsia" w:ascii="仿宋" w:hAnsi="仿宋" w:eastAsia="仿宋" w:cs="仿宋"/>
          <w:color w:val="auto"/>
          <w:sz w:val="21"/>
          <w:szCs w:val="21"/>
          <w:highlight w:val="none"/>
          <w:u w:val="single"/>
        </w:rPr>
        <w:t xml:space="preserve">                     </w:t>
      </w:r>
    </w:p>
    <w:p w14:paraId="3F36AF9F">
      <w:pPr>
        <w:spacing w:line="360" w:lineRule="auto"/>
        <w:ind w:firstLine="5040" w:firstLineChars="24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00E00E2A">
      <w:pPr>
        <w:spacing w:line="360" w:lineRule="auto"/>
        <w:outlineLvl w:val="9"/>
        <w:rPr>
          <w:rFonts w:hint="eastAsia" w:ascii="仿宋" w:hAnsi="仿宋" w:eastAsia="仿宋" w:cs="仿宋"/>
          <w:color w:val="auto"/>
          <w:szCs w:val="21"/>
          <w:highlight w:val="none"/>
        </w:rPr>
      </w:pPr>
    </w:p>
    <w:p w14:paraId="321D8948">
      <w:pPr>
        <w:spacing w:line="360" w:lineRule="auto"/>
        <w:outlineLvl w:val="9"/>
        <w:rPr>
          <w:rFonts w:hint="eastAsia" w:ascii="仿宋" w:hAnsi="仿宋" w:eastAsia="仿宋" w:cs="仿宋"/>
          <w:b/>
          <w:bCs/>
          <w:color w:val="auto"/>
          <w:sz w:val="21"/>
          <w:szCs w:val="21"/>
          <w:highlight w:val="none"/>
          <w:u w:val="none"/>
          <w:lang w:val="en-US" w:eastAsia="zh-CN"/>
        </w:rPr>
      </w:pPr>
    </w:p>
    <w:p w14:paraId="43D9D63B">
      <w:pPr>
        <w:spacing w:line="360" w:lineRule="auto"/>
        <w:ind w:firstLine="422" w:firstLineChars="200"/>
        <w:outlineLvl w:val="9"/>
        <w:rPr>
          <w:rFonts w:hint="eastAsia"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u w:val="none"/>
          <w:lang w:val="en-US" w:eastAsia="zh-CN"/>
        </w:rPr>
        <w:t>备注：投标代表为供应商的法定代表人的，不需要提供法定代表人授权书。</w:t>
      </w:r>
    </w:p>
    <w:p w14:paraId="5C1B04B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1"/>
          <w:szCs w:val="21"/>
          <w:highlight w:val="none"/>
          <w:u w:val="none"/>
          <w:lang w:val="en-US" w:eastAsia="zh-CN"/>
        </w:rPr>
      </w:pPr>
    </w:p>
    <w:p w14:paraId="206046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kern w:val="2"/>
          <w:sz w:val="21"/>
          <w:szCs w:val="21"/>
          <w:highlight w:val="none"/>
          <w:u w:val="none"/>
          <w:lang w:val="en-US" w:eastAsia="zh-CN" w:bidi="ar-SA"/>
        </w:rPr>
      </w:pPr>
    </w:p>
    <w:p w14:paraId="380C49C2">
      <w:pPr>
        <w:outlineLvl w:val="9"/>
        <w:rPr>
          <w:rFonts w:hint="eastAsia" w:ascii="仿宋" w:hAnsi="仿宋" w:eastAsia="仿宋" w:cs="仿宋"/>
          <w:color w:val="auto"/>
          <w:szCs w:val="21"/>
          <w:highlight w:val="none"/>
        </w:rPr>
      </w:pPr>
    </w:p>
    <w:p w14:paraId="38BC3FA5">
      <w:pPr>
        <w:outlineLvl w:val="9"/>
        <w:rPr>
          <w:rFonts w:hint="eastAsia" w:ascii="仿宋" w:hAnsi="仿宋" w:eastAsia="仿宋" w:cs="仿宋"/>
          <w:color w:val="auto"/>
          <w:szCs w:val="21"/>
          <w:highlight w:val="none"/>
        </w:rPr>
      </w:pPr>
    </w:p>
    <w:p w14:paraId="28F7761D">
      <w:pPr>
        <w:outlineLvl w:val="9"/>
        <w:rPr>
          <w:rFonts w:hint="eastAsia" w:ascii="仿宋" w:hAnsi="仿宋" w:eastAsia="仿宋" w:cs="仿宋"/>
          <w:color w:val="auto"/>
          <w:szCs w:val="21"/>
          <w:highlight w:val="none"/>
        </w:rPr>
      </w:pPr>
    </w:p>
    <w:p w14:paraId="09FAAF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2002944">
      <w:pPr>
        <w:adjustRightInd w:val="0"/>
        <w:snapToGrid w:val="0"/>
        <w:spacing w:line="360" w:lineRule="auto"/>
        <w:jc w:val="center"/>
        <w:outlineLvl w:val="1"/>
        <w:rPr>
          <w:rFonts w:hint="eastAsia" w:ascii="仿宋" w:hAnsi="仿宋" w:eastAsia="仿宋" w:cs="仿宋"/>
          <w:b/>
          <w:color w:val="auto"/>
          <w:sz w:val="32"/>
          <w:szCs w:val="32"/>
          <w:highlight w:val="none"/>
        </w:rPr>
      </w:pPr>
      <w:bookmarkStart w:id="180" w:name="_Toc27724"/>
      <w:bookmarkStart w:id="181" w:name="_Toc15263"/>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报价一览表</w:t>
      </w:r>
      <w:bookmarkEnd w:id="180"/>
      <w:bookmarkEnd w:id="181"/>
      <w:r>
        <w:rPr>
          <w:rFonts w:hint="eastAsia" w:ascii="仿宋" w:hAnsi="仿宋" w:eastAsia="仿宋" w:cs="仿宋"/>
          <w:b/>
          <w:color w:val="auto"/>
          <w:sz w:val="32"/>
          <w:szCs w:val="32"/>
          <w:highlight w:val="none"/>
        </w:rPr>
        <w:t xml:space="preserve"> </w:t>
      </w:r>
    </w:p>
    <w:p w14:paraId="7D3836AE">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9"/>
        <w:gridCol w:w="5522"/>
      </w:tblGrid>
      <w:tr w14:paraId="54DB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679" w:type="dxa"/>
            <w:vAlign w:val="center"/>
          </w:tcPr>
          <w:p w14:paraId="3D2BCE61">
            <w:pPr>
              <w:pStyle w:val="23"/>
              <w:keepNext w:val="0"/>
              <w:keepLines w:val="0"/>
              <w:widowControl/>
              <w:suppressLineNumbers w:val="0"/>
              <w:spacing w:beforeAutospacing="1" w:afterAutospacing="1"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标题</w:t>
            </w:r>
          </w:p>
        </w:tc>
        <w:tc>
          <w:tcPr>
            <w:tcW w:w="5522" w:type="dxa"/>
            <w:vAlign w:val="center"/>
          </w:tcPr>
          <w:p w14:paraId="6F612B24">
            <w:pPr>
              <w:pStyle w:val="23"/>
              <w:keepNext w:val="0"/>
              <w:keepLines w:val="0"/>
              <w:widowControl/>
              <w:suppressLineNumbers w:val="0"/>
              <w:spacing w:beforeAutospacing="1" w:afterAutospacing="1"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内容</w:t>
            </w:r>
          </w:p>
        </w:tc>
      </w:tr>
      <w:tr w14:paraId="0DA9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679" w:type="dxa"/>
            <w:vAlign w:val="center"/>
          </w:tcPr>
          <w:p w14:paraId="28FC1F4A">
            <w:pPr>
              <w:pStyle w:val="23"/>
              <w:keepNext w:val="0"/>
              <w:keepLines w:val="0"/>
              <w:widowControl/>
              <w:suppressLineNumbers w:val="0"/>
              <w:spacing w:beforeAutospacing="1" w:afterAutospacing="1"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投标报价</w:t>
            </w:r>
          </w:p>
        </w:tc>
        <w:tc>
          <w:tcPr>
            <w:tcW w:w="5522" w:type="dxa"/>
            <w:vAlign w:val="center"/>
          </w:tcPr>
          <w:p w14:paraId="1F40DADF">
            <w:pPr>
              <w:pStyle w:val="23"/>
              <w:keepNext w:val="0"/>
              <w:keepLines w:val="0"/>
              <w:widowControl/>
              <w:suppressLineNumbers w:val="0"/>
              <w:spacing w:beforeAutospacing="1" w:afterAutospacing="1"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u w:val="single"/>
                <w:vertAlign w:val="baseline"/>
                <w:lang w:val="en-US" w:eastAsia="zh-CN"/>
              </w:rPr>
              <w:t xml:space="preserve">          </w:t>
            </w:r>
            <w:r>
              <w:rPr>
                <w:rFonts w:hint="eastAsia" w:ascii="仿宋" w:hAnsi="仿宋" w:eastAsia="仿宋" w:cs="仿宋"/>
                <w:color w:val="auto"/>
                <w:sz w:val="21"/>
                <w:szCs w:val="21"/>
                <w:vertAlign w:val="baseline"/>
                <w:lang w:val="en-US" w:eastAsia="zh-CN"/>
              </w:rPr>
              <w:t>元</w:t>
            </w:r>
          </w:p>
        </w:tc>
      </w:tr>
    </w:tbl>
    <w:p w14:paraId="3CB866F3">
      <w:pPr>
        <w:rPr>
          <w:rFonts w:hint="eastAsia" w:ascii="仿宋" w:hAnsi="仿宋" w:eastAsia="仿宋" w:cs="仿宋"/>
          <w:color w:val="auto"/>
          <w:sz w:val="27"/>
          <w:szCs w:val="27"/>
        </w:rPr>
      </w:pPr>
      <w:r>
        <w:rPr>
          <w:rFonts w:hint="eastAsia" w:ascii="仿宋" w:hAnsi="仿宋" w:eastAsia="仿宋" w:cs="仿宋"/>
          <w:color w:val="auto"/>
          <w:sz w:val="27"/>
          <w:szCs w:val="27"/>
        </w:rPr>
        <w:br w:type="page"/>
      </w:r>
    </w:p>
    <w:p w14:paraId="024B5B34">
      <w:pPr>
        <w:adjustRightInd w:val="0"/>
        <w:snapToGrid w:val="0"/>
        <w:spacing w:line="360" w:lineRule="auto"/>
        <w:jc w:val="center"/>
        <w:outlineLvl w:val="1"/>
        <w:rPr>
          <w:rFonts w:hint="eastAsia" w:ascii="仿宋" w:hAnsi="仿宋" w:eastAsia="仿宋" w:cs="仿宋"/>
          <w:b/>
          <w:color w:val="auto"/>
          <w:sz w:val="32"/>
          <w:szCs w:val="32"/>
          <w:highlight w:val="none"/>
          <w:lang w:val="en-US" w:eastAsia="zh-CN"/>
        </w:rPr>
      </w:pPr>
      <w:bookmarkStart w:id="182" w:name="_Toc23575"/>
      <w:bookmarkStart w:id="183" w:name="_Toc20473"/>
      <w:r>
        <w:rPr>
          <w:rFonts w:hint="eastAsia" w:ascii="仿宋" w:hAnsi="仿宋" w:eastAsia="仿宋" w:cs="仿宋"/>
          <w:b/>
          <w:color w:val="auto"/>
          <w:sz w:val="32"/>
          <w:szCs w:val="32"/>
          <w:highlight w:val="none"/>
          <w:lang w:val="en-US" w:eastAsia="zh-CN"/>
        </w:rPr>
        <w:t>三、联合体协议</w:t>
      </w:r>
      <w:bookmarkEnd w:id="182"/>
      <w:bookmarkEnd w:id="183"/>
    </w:p>
    <w:p w14:paraId="3D07C4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0"/>
        <w:jc w:val="center"/>
        <w:rPr>
          <w:rFonts w:hint="eastAsia" w:ascii="仿宋" w:hAnsi="仿宋" w:eastAsia="仿宋" w:cs="仿宋"/>
          <w:i w:val="0"/>
          <w:iCs w:val="0"/>
          <w:caps w:val="0"/>
          <w:color w:val="auto"/>
          <w:spacing w:val="0"/>
          <w:kern w:val="0"/>
          <w:sz w:val="21"/>
          <w:szCs w:val="21"/>
          <w:shd w:val="clear" w:fill="FFFFFF"/>
          <w:lang w:val="en-US" w:eastAsia="zh-CN" w:bidi="ar"/>
        </w:rPr>
      </w:pPr>
    </w:p>
    <w:p w14:paraId="210288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0"/>
        <w:jc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kern w:val="0"/>
          <w:sz w:val="21"/>
          <w:szCs w:val="21"/>
          <w:shd w:val="clear" w:fill="FFFFFF"/>
          <w:lang w:val="en-US" w:eastAsia="zh-CN" w:bidi="ar"/>
        </w:rPr>
        <w:t>注：本项目不适用</w:t>
      </w:r>
    </w:p>
    <w:p w14:paraId="7CA0BA59">
      <w:pPr>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br w:type="page"/>
      </w:r>
    </w:p>
    <w:p w14:paraId="43D26CDF">
      <w:pPr>
        <w:adjustRightInd w:val="0"/>
        <w:snapToGrid w:val="0"/>
        <w:spacing w:line="360" w:lineRule="auto"/>
        <w:jc w:val="center"/>
        <w:outlineLvl w:val="1"/>
        <w:rPr>
          <w:rFonts w:hint="eastAsia" w:ascii="仿宋" w:hAnsi="仿宋" w:eastAsia="仿宋" w:cs="仿宋"/>
          <w:b/>
          <w:color w:val="auto"/>
          <w:sz w:val="32"/>
          <w:szCs w:val="32"/>
          <w:highlight w:val="none"/>
          <w:lang w:val="en-US" w:eastAsia="zh-CN"/>
        </w:rPr>
      </w:pPr>
      <w:bookmarkStart w:id="184" w:name="_Toc15285"/>
      <w:bookmarkStart w:id="185" w:name="_Toc31061"/>
      <w:r>
        <w:rPr>
          <w:rFonts w:hint="eastAsia" w:ascii="仿宋" w:hAnsi="仿宋" w:eastAsia="仿宋" w:cs="仿宋"/>
          <w:b/>
          <w:color w:val="auto"/>
          <w:sz w:val="32"/>
          <w:szCs w:val="32"/>
          <w:highlight w:val="none"/>
          <w:lang w:val="en-US" w:eastAsia="zh-CN"/>
        </w:rPr>
        <w:t>四、供应商的资格证明材料</w:t>
      </w:r>
      <w:bookmarkEnd w:id="184"/>
      <w:bookmarkEnd w:id="185"/>
    </w:p>
    <w:p w14:paraId="3D7C5617">
      <w:pPr>
        <w:pStyle w:val="4"/>
        <w:bidi w:val="0"/>
        <w:spacing w:line="360" w:lineRule="auto"/>
        <w:rPr>
          <w:rFonts w:hint="eastAsia" w:ascii="仿宋" w:hAnsi="仿宋" w:eastAsia="仿宋" w:cs="仿宋"/>
          <w:color w:val="auto"/>
          <w:sz w:val="28"/>
          <w:szCs w:val="28"/>
          <w:highlight w:val="none"/>
          <w:lang w:eastAsia="zh-CN"/>
        </w:rPr>
      </w:pPr>
      <w:bookmarkStart w:id="186" w:name="_Toc25116"/>
      <w:bookmarkStart w:id="187" w:name="_Toc12718"/>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4-1 供应商基本情况表</w:t>
      </w:r>
      <w:bookmarkEnd w:id="186"/>
      <w:bookmarkEnd w:id="187"/>
    </w:p>
    <w:p w14:paraId="608A4668">
      <w:pPr>
        <w:adjustRightInd w:val="0"/>
        <w:snapToGrid w:val="0"/>
        <w:spacing w:line="360" w:lineRule="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供应商基本情况表</w:t>
      </w:r>
    </w:p>
    <w:tbl>
      <w:tblPr>
        <w:tblStyle w:val="26"/>
        <w:tblW w:w="906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539"/>
        <w:gridCol w:w="484"/>
        <w:gridCol w:w="1020"/>
        <w:gridCol w:w="855"/>
        <w:gridCol w:w="585"/>
        <w:gridCol w:w="299"/>
        <w:gridCol w:w="1329"/>
        <w:gridCol w:w="1489"/>
        <w:gridCol w:w="1745"/>
      </w:tblGrid>
      <w:tr w14:paraId="5317A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41" w:type="dxa"/>
            <w:gridSpan w:val="3"/>
            <w:tcBorders>
              <w:bottom w:val="single" w:color="auto" w:sz="6" w:space="0"/>
              <w:right w:val="single" w:color="auto" w:sz="6" w:space="0"/>
            </w:tcBorders>
            <w:noWrap w:val="0"/>
            <w:vAlign w:val="center"/>
          </w:tcPr>
          <w:p w14:paraId="16B9BAD0">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p>
        </w:tc>
        <w:tc>
          <w:tcPr>
            <w:tcW w:w="4088" w:type="dxa"/>
            <w:gridSpan w:val="5"/>
            <w:tcBorders>
              <w:left w:val="single" w:color="auto" w:sz="6" w:space="0"/>
              <w:bottom w:val="single" w:color="auto" w:sz="6" w:space="0"/>
              <w:right w:val="single" w:color="auto" w:sz="6" w:space="0"/>
            </w:tcBorders>
            <w:noWrap w:val="0"/>
            <w:vAlign w:val="center"/>
          </w:tcPr>
          <w:p w14:paraId="4C5C25CB">
            <w:pPr>
              <w:topLinePunct/>
              <w:spacing w:line="440" w:lineRule="exact"/>
              <w:jc w:val="center"/>
              <w:outlineLvl w:val="9"/>
              <w:rPr>
                <w:rFonts w:hint="eastAsia" w:ascii="仿宋" w:hAnsi="仿宋" w:eastAsia="仿宋" w:cs="仿宋"/>
                <w:color w:val="auto"/>
                <w:sz w:val="21"/>
                <w:szCs w:val="21"/>
                <w:highlight w:val="none"/>
              </w:rPr>
            </w:pPr>
          </w:p>
        </w:tc>
        <w:tc>
          <w:tcPr>
            <w:tcW w:w="1489" w:type="dxa"/>
            <w:tcBorders>
              <w:left w:val="single" w:color="auto" w:sz="6" w:space="0"/>
              <w:bottom w:val="single" w:color="auto" w:sz="6" w:space="0"/>
              <w:right w:val="single" w:color="auto" w:sz="6" w:space="0"/>
            </w:tcBorders>
            <w:noWrap w:val="0"/>
            <w:vAlign w:val="center"/>
          </w:tcPr>
          <w:p w14:paraId="3B8BDEB1">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1745" w:type="dxa"/>
            <w:tcBorders>
              <w:left w:val="single" w:color="auto" w:sz="6" w:space="0"/>
              <w:bottom w:val="single" w:color="auto" w:sz="6" w:space="0"/>
            </w:tcBorders>
            <w:noWrap w:val="0"/>
            <w:vAlign w:val="center"/>
          </w:tcPr>
          <w:p w14:paraId="076080AC">
            <w:pPr>
              <w:topLinePunct/>
              <w:spacing w:line="440" w:lineRule="exact"/>
              <w:jc w:val="center"/>
              <w:outlineLvl w:val="9"/>
              <w:rPr>
                <w:rFonts w:hint="eastAsia" w:ascii="仿宋" w:hAnsi="仿宋" w:eastAsia="仿宋" w:cs="仿宋"/>
                <w:color w:val="auto"/>
                <w:sz w:val="21"/>
                <w:szCs w:val="21"/>
                <w:highlight w:val="none"/>
              </w:rPr>
            </w:pPr>
          </w:p>
        </w:tc>
      </w:tr>
      <w:tr w14:paraId="24F68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41" w:type="dxa"/>
            <w:gridSpan w:val="3"/>
            <w:tcBorders>
              <w:top w:val="single" w:color="auto" w:sz="6" w:space="0"/>
              <w:bottom w:val="single" w:color="auto" w:sz="6" w:space="0"/>
              <w:right w:val="single" w:color="auto" w:sz="6" w:space="0"/>
            </w:tcBorders>
            <w:noWrap w:val="0"/>
            <w:vAlign w:val="center"/>
          </w:tcPr>
          <w:p w14:paraId="6E4A5F65">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tc>
        <w:tc>
          <w:tcPr>
            <w:tcW w:w="4088" w:type="dxa"/>
            <w:gridSpan w:val="5"/>
            <w:tcBorders>
              <w:top w:val="single" w:color="auto" w:sz="6" w:space="0"/>
              <w:left w:val="single" w:color="auto" w:sz="6" w:space="0"/>
              <w:bottom w:val="single" w:color="auto" w:sz="6" w:space="0"/>
              <w:right w:val="single" w:color="auto" w:sz="6" w:space="0"/>
            </w:tcBorders>
            <w:noWrap w:val="0"/>
            <w:vAlign w:val="center"/>
          </w:tcPr>
          <w:p w14:paraId="469BA0E8">
            <w:pPr>
              <w:topLinePunct/>
              <w:spacing w:line="440" w:lineRule="exact"/>
              <w:jc w:val="center"/>
              <w:outlineLvl w:val="9"/>
              <w:rPr>
                <w:rFonts w:hint="eastAsia" w:ascii="仿宋" w:hAnsi="仿宋" w:eastAsia="仿宋" w:cs="仿宋"/>
                <w:color w:val="auto"/>
                <w:sz w:val="21"/>
                <w:szCs w:val="21"/>
                <w:highlight w:val="none"/>
              </w:rPr>
            </w:pPr>
          </w:p>
        </w:tc>
        <w:tc>
          <w:tcPr>
            <w:tcW w:w="1489" w:type="dxa"/>
            <w:tcBorders>
              <w:top w:val="single" w:color="auto" w:sz="6" w:space="0"/>
              <w:left w:val="single" w:color="auto" w:sz="6" w:space="0"/>
              <w:bottom w:val="single" w:color="auto" w:sz="6" w:space="0"/>
              <w:right w:val="single" w:color="auto" w:sz="6" w:space="0"/>
            </w:tcBorders>
            <w:noWrap w:val="0"/>
            <w:vAlign w:val="center"/>
          </w:tcPr>
          <w:p w14:paraId="47B1658F">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745" w:type="dxa"/>
            <w:tcBorders>
              <w:top w:val="single" w:color="auto" w:sz="6" w:space="0"/>
              <w:left w:val="single" w:color="auto" w:sz="6" w:space="0"/>
              <w:bottom w:val="single" w:color="auto" w:sz="6" w:space="0"/>
            </w:tcBorders>
            <w:noWrap w:val="0"/>
            <w:vAlign w:val="center"/>
          </w:tcPr>
          <w:p w14:paraId="4F01FF4E">
            <w:pPr>
              <w:topLinePunct/>
              <w:spacing w:line="440" w:lineRule="exact"/>
              <w:jc w:val="center"/>
              <w:outlineLvl w:val="9"/>
              <w:rPr>
                <w:rFonts w:hint="eastAsia" w:ascii="仿宋" w:hAnsi="仿宋" w:eastAsia="仿宋" w:cs="仿宋"/>
                <w:color w:val="auto"/>
                <w:sz w:val="21"/>
                <w:szCs w:val="21"/>
                <w:highlight w:val="none"/>
              </w:rPr>
            </w:pPr>
          </w:p>
        </w:tc>
      </w:tr>
      <w:tr w14:paraId="0AB0A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41" w:type="dxa"/>
            <w:gridSpan w:val="3"/>
            <w:tcBorders>
              <w:top w:val="single" w:color="auto" w:sz="6" w:space="0"/>
              <w:bottom w:val="single" w:color="auto" w:sz="6" w:space="0"/>
              <w:right w:val="single" w:color="auto" w:sz="6" w:space="0"/>
            </w:tcBorders>
            <w:noWrap w:val="0"/>
            <w:vAlign w:val="center"/>
          </w:tcPr>
          <w:p w14:paraId="433FF5EA">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上年营业收入</w:t>
            </w:r>
          </w:p>
        </w:tc>
        <w:tc>
          <w:tcPr>
            <w:tcW w:w="4088" w:type="dxa"/>
            <w:gridSpan w:val="5"/>
            <w:tcBorders>
              <w:top w:val="single" w:color="auto" w:sz="6" w:space="0"/>
              <w:left w:val="single" w:color="auto" w:sz="6" w:space="0"/>
              <w:bottom w:val="single" w:color="auto" w:sz="6" w:space="0"/>
              <w:right w:val="single" w:color="auto" w:sz="6" w:space="0"/>
            </w:tcBorders>
            <w:noWrap w:val="0"/>
            <w:vAlign w:val="center"/>
          </w:tcPr>
          <w:p w14:paraId="3A882707">
            <w:pPr>
              <w:topLinePunct/>
              <w:spacing w:line="440" w:lineRule="exact"/>
              <w:jc w:val="center"/>
              <w:outlineLvl w:val="9"/>
              <w:rPr>
                <w:rFonts w:hint="eastAsia" w:ascii="仿宋" w:hAnsi="仿宋" w:eastAsia="仿宋" w:cs="仿宋"/>
                <w:color w:val="auto"/>
                <w:sz w:val="21"/>
                <w:szCs w:val="21"/>
                <w:highlight w:val="none"/>
              </w:rPr>
            </w:pPr>
          </w:p>
        </w:tc>
        <w:tc>
          <w:tcPr>
            <w:tcW w:w="1489" w:type="dxa"/>
            <w:tcBorders>
              <w:top w:val="single" w:color="auto" w:sz="6" w:space="0"/>
              <w:left w:val="single" w:color="auto" w:sz="6" w:space="0"/>
              <w:bottom w:val="single" w:color="auto" w:sz="6" w:space="0"/>
              <w:right w:val="single" w:color="auto" w:sz="6" w:space="0"/>
            </w:tcBorders>
            <w:noWrap w:val="0"/>
            <w:vAlign w:val="center"/>
          </w:tcPr>
          <w:p w14:paraId="2C14F41E">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c>
          <w:tcPr>
            <w:tcW w:w="1745" w:type="dxa"/>
            <w:tcBorders>
              <w:top w:val="single" w:color="auto" w:sz="6" w:space="0"/>
              <w:left w:val="single" w:color="auto" w:sz="6" w:space="0"/>
              <w:bottom w:val="single" w:color="auto" w:sz="6" w:space="0"/>
            </w:tcBorders>
            <w:noWrap w:val="0"/>
            <w:vAlign w:val="center"/>
          </w:tcPr>
          <w:p w14:paraId="3C6629E1">
            <w:pPr>
              <w:topLinePunct/>
              <w:spacing w:line="440" w:lineRule="exact"/>
              <w:jc w:val="center"/>
              <w:outlineLvl w:val="9"/>
              <w:rPr>
                <w:rFonts w:hint="eastAsia" w:ascii="仿宋" w:hAnsi="仿宋" w:eastAsia="仿宋" w:cs="仿宋"/>
                <w:color w:val="auto"/>
                <w:sz w:val="21"/>
                <w:szCs w:val="21"/>
                <w:highlight w:val="none"/>
              </w:rPr>
            </w:pPr>
          </w:p>
        </w:tc>
      </w:tr>
      <w:tr w14:paraId="2EB9A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8" w:type="dxa"/>
            <w:vMerge w:val="restart"/>
            <w:tcBorders>
              <w:top w:val="single" w:color="auto" w:sz="6" w:space="0"/>
              <w:bottom w:val="single" w:color="auto" w:sz="6" w:space="0"/>
              <w:right w:val="single" w:color="auto" w:sz="6" w:space="0"/>
            </w:tcBorders>
            <w:noWrap w:val="0"/>
            <w:vAlign w:val="center"/>
          </w:tcPr>
          <w:p w14:paraId="5F421D04">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2043" w:type="dxa"/>
            <w:gridSpan w:val="3"/>
            <w:tcBorders>
              <w:top w:val="single" w:color="auto" w:sz="6" w:space="0"/>
              <w:left w:val="single" w:color="auto" w:sz="6" w:space="0"/>
              <w:bottom w:val="single" w:color="auto" w:sz="6" w:space="0"/>
              <w:right w:val="single" w:color="auto" w:sz="6" w:space="0"/>
            </w:tcBorders>
            <w:noWrap w:val="0"/>
            <w:vAlign w:val="center"/>
          </w:tcPr>
          <w:p w14:paraId="572E730E">
            <w:pPr>
              <w:pStyle w:val="10"/>
              <w:rPr>
                <w:rFonts w:hint="eastAsia" w:ascii="仿宋" w:hAnsi="仿宋" w:eastAsia="仿宋" w:cs="仿宋"/>
                <w:color w:val="auto"/>
                <w:sz w:val="21"/>
                <w:szCs w:val="21"/>
                <w:highlight w:val="none"/>
              </w:rPr>
            </w:pPr>
            <w:r>
              <w:rPr>
                <w:rFonts w:hint="eastAsia" w:ascii="仿宋" w:hAnsi="仿宋" w:eastAsia="仿宋" w:cs="仿宋"/>
                <w:color w:val="auto"/>
                <w:kern w:val="0"/>
                <w:position w:val="-2"/>
                <w:szCs w:val="21"/>
                <w:highlight w:val="none"/>
              </w:rPr>
              <w:t>统一社会信用代码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4E2B9EF5">
            <w:pPr>
              <w:topLinePunct/>
              <w:spacing w:line="440" w:lineRule="exact"/>
              <w:jc w:val="center"/>
              <w:outlineLvl w:val="9"/>
              <w:rPr>
                <w:rFonts w:hint="eastAsia" w:ascii="仿宋" w:hAnsi="仿宋" w:eastAsia="仿宋" w:cs="仿宋"/>
                <w:color w:val="auto"/>
                <w:sz w:val="21"/>
                <w:szCs w:val="21"/>
                <w:highlight w:val="none"/>
              </w:rPr>
            </w:pPr>
          </w:p>
        </w:tc>
        <w:tc>
          <w:tcPr>
            <w:tcW w:w="1628" w:type="dxa"/>
            <w:gridSpan w:val="2"/>
            <w:tcBorders>
              <w:top w:val="single" w:color="auto" w:sz="6" w:space="0"/>
              <w:left w:val="single" w:color="auto" w:sz="6" w:space="0"/>
              <w:bottom w:val="single" w:color="auto" w:sz="6" w:space="0"/>
              <w:right w:val="single" w:color="auto" w:sz="6" w:space="0"/>
            </w:tcBorders>
            <w:noWrap w:val="0"/>
            <w:vAlign w:val="center"/>
          </w:tcPr>
          <w:p w14:paraId="4EEE5CFF">
            <w:pPr>
              <w:topLinePunct/>
              <w:spacing w:line="440" w:lineRule="exact"/>
              <w:ind w:firstLine="105" w:firstLineChars="5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3234" w:type="dxa"/>
            <w:gridSpan w:val="2"/>
            <w:tcBorders>
              <w:top w:val="single" w:color="auto" w:sz="6" w:space="0"/>
              <w:left w:val="single" w:color="auto" w:sz="6" w:space="0"/>
              <w:bottom w:val="single" w:color="auto" w:sz="6" w:space="0"/>
            </w:tcBorders>
            <w:noWrap w:val="0"/>
            <w:vAlign w:val="center"/>
          </w:tcPr>
          <w:p w14:paraId="23EFEF01">
            <w:pPr>
              <w:topLinePunct/>
              <w:spacing w:line="440" w:lineRule="exact"/>
              <w:ind w:firstLine="105" w:firstLineChars="50"/>
              <w:jc w:val="center"/>
              <w:outlineLvl w:val="9"/>
              <w:rPr>
                <w:rFonts w:hint="eastAsia" w:ascii="仿宋" w:hAnsi="仿宋" w:eastAsia="仿宋" w:cs="仿宋"/>
                <w:color w:val="auto"/>
                <w:sz w:val="21"/>
                <w:szCs w:val="21"/>
                <w:highlight w:val="none"/>
              </w:rPr>
            </w:pPr>
          </w:p>
        </w:tc>
      </w:tr>
      <w:tr w14:paraId="64822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8" w:type="dxa"/>
            <w:vMerge w:val="continue"/>
            <w:tcBorders>
              <w:top w:val="single" w:color="auto" w:sz="6" w:space="0"/>
              <w:bottom w:val="single" w:color="auto" w:sz="6" w:space="0"/>
              <w:right w:val="single" w:color="auto" w:sz="6" w:space="0"/>
            </w:tcBorders>
            <w:noWrap w:val="0"/>
            <w:vAlign w:val="center"/>
          </w:tcPr>
          <w:p w14:paraId="62F9CA6E">
            <w:pPr>
              <w:topLinePunct/>
              <w:spacing w:line="440" w:lineRule="exact"/>
              <w:jc w:val="center"/>
              <w:outlineLvl w:val="9"/>
              <w:rPr>
                <w:rFonts w:hint="eastAsia" w:ascii="仿宋" w:hAnsi="仿宋" w:eastAsia="仿宋" w:cs="仿宋"/>
                <w:color w:val="auto"/>
                <w:sz w:val="21"/>
                <w:szCs w:val="21"/>
                <w:highlight w:val="none"/>
              </w:rPr>
            </w:pPr>
          </w:p>
        </w:tc>
        <w:tc>
          <w:tcPr>
            <w:tcW w:w="2043" w:type="dxa"/>
            <w:gridSpan w:val="3"/>
            <w:tcBorders>
              <w:top w:val="single" w:color="auto" w:sz="6" w:space="0"/>
              <w:left w:val="single" w:color="auto" w:sz="6" w:space="0"/>
              <w:bottom w:val="single" w:color="auto" w:sz="6" w:space="0"/>
              <w:right w:val="single" w:color="auto" w:sz="6" w:space="0"/>
            </w:tcBorders>
            <w:noWrap w:val="0"/>
            <w:vAlign w:val="center"/>
          </w:tcPr>
          <w:p w14:paraId="3F263EF3">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58CEA6AA">
            <w:pPr>
              <w:topLinePunct/>
              <w:spacing w:line="440" w:lineRule="exact"/>
              <w:jc w:val="center"/>
              <w:outlineLvl w:val="9"/>
              <w:rPr>
                <w:rFonts w:hint="eastAsia" w:ascii="仿宋" w:hAnsi="仿宋" w:eastAsia="仿宋" w:cs="仿宋"/>
                <w:color w:val="auto"/>
                <w:sz w:val="21"/>
                <w:szCs w:val="21"/>
                <w:highlight w:val="none"/>
              </w:rPr>
            </w:pPr>
          </w:p>
        </w:tc>
        <w:tc>
          <w:tcPr>
            <w:tcW w:w="1628" w:type="dxa"/>
            <w:gridSpan w:val="2"/>
            <w:tcBorders>
              <w:top w:val="single" w:color="auto" w:sz="6" w:space="0"/>
              <w:left w:val="single" w:color="auto" w:sz="6" w:space="0"/>
              <w:bottom w:val="single" w:color="auto" w:sz="6" w:space="0"/>
              <w:right w:val="single" w:color="auto" w:sz="6" w:space="0"/>
            </w:tcBorders>
            <w:noWrap w:val="0"/>
            <w:vAlign w:val="center"/>
          </w:tcPr>
          <w:p w14:paraId="4D8DBAD0">
            <w:pPr>
              <w:topLinePunct/>
              <w:spacing w:line="440" w:lineRule="exact"/>
              <w:ind w:firstLine="105" w:firstLineChars="5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发证日期</w:t>
            </w:r>
          </w:p>
        </w:tc>
        <w:tc>
          <w:tcPr>
            <w:tcW w:w="3234" w:type="dxa"/>
            <w:gridSpan w:val="2"/>
            <w:tcBorders>
              <w:top w:val="single" w:color="auto" w:sz="6" w:space="0"/>
              <w:left w:val="single" w:color="auto" w:sz="6" w:space="0"/>
              <w:bottom w:val="single" w:color="auto" w:sz="6" w:space="0"/>
            </w:tcBorders>
            <w:noWrap w:val="0"/>
            <w:vAlign w:val="center"/>
          </w:tcPr>
          <w:p w14:paraId="4A455C83">
            <w:pPr>
              <w:topLinePunct/>
              <w:spacing w:line="440" w:lineRule="exact"/>
              <w:ind w:firstLine="105" w:firstLineChars="50"/>
              <w:jc w:val="center"/>
              <w:outlineLvl w:val="9"/>
              <w:rPr>
                <w:rFonts w:hint="eastAsia" w:ascii="仿宋" w:hAnsi="仿宋" w:eastAsia="仿宋" w:cs="仿宋"/>
                <w:color w:val="auto"/>
                <w:sz w:val="21"/>
                <w:szCs w:val="21"/>
                <w:highlight w:val="none"/>
              </w:rPr>
            </w:pPr>
          </w:p>
        </w:tc>
      </w:tr>
      <w:tr w14:paraId="02D06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8" w:type="dxa"/>
            <w:vMerge w:val="continue"/>
            <w:tcBorders>
              <w:top w:val="single" w:color="auto" w:sz="6" w:space="0"/>
              <w:bottom w:val="single" w:color="auto" w:sz="6" w:space="0"/>
              <w:right w:val="single" w:color="auto" w:sz="6" w:space="0"/>
            </w:tcBorders>
            <w:noWrap w:val="0"/>
            <w:vAlign w:val="center"/>
          </w:tcPr>
          <w:p w14:paraId="11C6F3B4">
            <w:pPr>
              <w:topLinePunct/>
              <w:spacing w:line="440" w:lineRule="exact"/>
              <w:jc w:val="center"/>
              <w:outlineLvl w:val="9"/>
              <w:rPr>
                <w:rFonts w:hint="eastAsia" w:ascii="仿宋" w:hAnsi="仿宋" w:eastAsia="仿宋" w:cs="仿宋"/>
                <w:color w:val="auto"/>
                <w:sz w:val="21"/>
                <w:szCs w:val="21"/>
                <w:highlight w:val="none"/>
              </w:rPr>
            </w:pPr>
          </w:p>
        </w:tc>
        <w:tc>
          <w:tcPr>
            <w:tcW w:w="2043" w:type="dxa"/>
            <w:gridSpan w:val="3"/>
            <w:tcBorders>
              <w:top w:val="single" w:color="auto" w:sz="6" w:space="0"/>
              <w:left w:val="single" w:color="auto" w:sz="6" w:space="0"/>
              <w:bottom w:val="single" w:color="auto" w:sz="6" w:space="0"/>
              <w:right w:val="single" w:color="auto" w:sz="6" w:space="0"/>
            </w:tcBorders>
            <w:noWrap w:val="0"/>
            <w:vAlign w:val="center"/>
          </w:tcPr>
          <w:p w14:paraId="16CB3B49">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营业范围（主营）</w:t>
            </w:r>
          </w:p>
        </w:tc>
        <w:tc>
          <w:tcPr>
            <w:tcW w:w="6302" w:type="dxa"/>
            <w:gridSpan w:val="6"/>
            <w:tcBorders>
              <w:top w:val="single" w:color="auto" w:sz="6" w:space="0"/>
              <w:left w:val="single" w:color="auto" w:sz="6" w:space="0"/>
              <w:bottom w:val="single" w:color="auto" w:sz="6" w:space="0"/>
            </w:tcBorders>
            <w:noWrap w:val="0"/>
            <w:vAlign w:val="center"/>
          </w:tcPr>
          <w:p w14:paraId="6BD84B08">
            <w:pPr>
              <w:topLinePunct/>
              <w:spacing w:line="440" w:lineRule="exact"/>
              <w:ind w:firstLine="105" w:firstLineChars="50"/>
              <w:jc w:val="center"/>
              <w:outlineLvl w:val="9"/>
              <w:rPr>
                <w:rFonts w:hint="eastAsia" w:ascii="仿宋" w:hAnsi="仿宋" w:eastAsia="仿宋" w:cs="仿宋"/>
                <w:color w:val="auto"/>
                <w:sz w:val="21"/>
                <w:szCs w:val="21"/>
                <w:highlight w:val="none"/>
              </w:rPr>
            </w:pPr>
          </w:p>
        </w:tc>
      </w:tr>
      <w:tr w14:paraId="6E868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8" w:type="dxa"/>
            <w:vMerge w:val="continue"/>
            <w:tcBorders>
              <w:top w:val="single" w:color="auto" w:sz="6" w:space="0"/>
              <w:bottom w:val="single" w:color="auto" w:sz="6" w:space="0"/>
              <w:right w:val="single" w:color="auto" w:sz="6" w:space="0"/>
            </w:tcBorders>
            <w:noWrap w:val="0"/>
            <w:vAlign w:val="center"/>
          </w:tcPr>
          <w:p w14:paraId="4243B3B1">
            <w:pPr>
              <w:topLinePunct/>
              <w:spacing w:line="440" w:lineRule="exact"/>
              <w:jc w:val="center"/>
              <w:outlineLvl w:val="9"/>
              <w:rPr>
                <w:rFonts w:hint="eastAsia" w:ascii="仿宋" w:hAnsi="仿宋" w:eastAsia="仿宋" w:cs="仿宋"/>
                <w:color w:val="auto"/>
                <w:sz w:val="21"/>
                <w:szCs w:val="21"/>
                <w:highlight w:val="none"/>
              </w:rPr>
            </w:pPr>
          </w:p>
        </w:tc>
        <w:tc>
          <w:tcPr>
            <w:tcW w:w="2043" w:type="dxa"/>
            <w:gridSpan w:val="3"/>
            <w:tcBorders>
              <w:top w:val="single" w:color="auto" w:sz="6" w:space="0"/>
              <w:left w:val="single" w:color="auto" w:sz="6" w:space="0"/>
              <w:bottom w:val="single" w:color="auto" w:sz="6" w:space="0"/>
              <w:right w:val="single" w:color="auto" w:sz="6" w:space="0"/>
            </w:tcBorders>
            <w:noWrap w:val="0"/>
            <w:vAlign w:val="center"/>
          </w:tcPr>
          <w:p w14:paraId="59EEFD52">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营业范围（兼营）</w:t>
            </w:r>
          </w:p>
        </w:tc>
        <w:tc>
          <w:tcPr>
            <w:tcW w:w="6302" w:type="dxa"/>
            <w:gridSpan w:val="6"/>
            <w:tcBorders>
              <w:top w:val="single" w:color="auto" w:sz="6" w:space="0"/>
              <w:left w:val="single" w:color="auto" w:sz="6" w:space="0"/>
              <w:bottom w:val="single" w:color="auto" w:sz="6" w:space="0"/>
            </w:tcBorders>
            <w:noWrap w:val="0"/>
            <w:vAlign w:val="center"/>
          </w:tcPr>
          <w:p w14:paraId="57090C44">
            <w:pPr>
              <w:topLinePunct/>
              <w:spacing w:line="440" w:lineRule="exact"/>
              <w:ind w:firstLine="105" w:firstLineChars="50"/>
              <w:jc w:val="center"/>
              <w:outlineLvl w:val="9"/>
              <w:rPr>
                <w:rFonts w:hint="eastAsia" w:ascii="仿宋" w:hAnsi="仿宋" w:eastAsia="仿宋" w:cs="仿宋"/>
                <w:color w:val="auto"/>
                <w:sz w:val="21"/>
                <w:szCs w:val="21"/>
                <w:highlight w:val="none"/>
              </w:rPr>
            </w:pPr>
          </w:p>
        </w:tc>
      </w:tr>
      <w:tr w14:paraId="3CF41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1" w:type="dxa"/>
            <w:gridSpan w:val="4"/>
            <w:tcBorders>
              <w:top w:val="single" w:color="auto" w:sz="6" w:space="0"/>
              <w:bottom w:val="single" w:color="auto" w:sz="6" w:space="0"/>
              <w:right w:val="single" w:color="auto" w:sz="6" w:space="0"/>
            </w:tcBorders>
            <w:noWrap w:val="0"/>
            <w:vAlign w:val="center"/>
          </w:tcPr>
          <w:p w14:paraId="409323B2">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基本账户开户行及账号</w:t>
            </w:r>
          </w:p>
        </w:tc>
        <w:tc>
          <w:tcPr>
            <w:tcW w:w="6302" w:type="dxa"/>
            <w:gridSpan w:val="6"/>
            <w:tcBorders>
              <w:top w:val="single" w:color="auto" w:sz="6" w:space="0"/>
              <w:left w:val="single" w:color="auto" w:sz="6" w:space="0"/>
              <w:bottom w:val="single" w:color="auto" w:sz="6" w:space="0"/>
            </w:tcBorders>
            <w:noWrap w:val="0"/>
            <w:vAlign w:val="center"/>
          </w:tcPr>
          <w:p w14:paraId="00393B60">
            <w:pPr>
              <w:topLinePunct/>
              <w:spacing w:line="440" w:lineRule="exact"/>
              <w:jc w:val="center"/>
              <w:outlineLvl w:val="9"/>
              <w:rPr>
                <w:rFonts w:hint="eastAsia" w:ascii="仿宋" w:hAnsi="仿宋" w:eastAsia="仿宋" w:cs="仿宋"/>
                <w:color w:val="auto"/>
                <w:sz w:val="21"/>
                <w:szCs w:val="21"/>
                <w:highlight w:val="none"/>
              </w:rPr>
            </w:pPr>
          </w:p>
        </w:tc>
      </w:tr>
      <w:tr w14:paraId="664D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1" w:type="dxa"/>
            <w:gridSpan w:val="4"/>
            <w:tcBorders>
              <w:top w:val="single" w:color="auto" w:sz="6" w:space="0"/>
              <w:bottom w:val="single" w:color="auto" w:sz="6" w:space="0"/>
              <w:right w:val="single" w:color="auto" w:sz="6" w:space="0"/>
            </w:tcBorders>
            <w:noWrap w:val="0"/>
            <w:vAlign w:val="center"/>
          </w:tcPr>
          <w:p w14:paraId="0E8D1AA1">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税务登记机关</w:t>
            </w:r>
          </w:p>
        </w:tc>
        <w:tc>
          <w:tcPr>
            <w:tcW w:w="6302" w:type="dxa"/>
            <w:gridSpan w:val="6"/>
            <w:tcBorders>
              <w:top w:val="single" w:color="auto" w:sz="6" w:space="0"/>
              <w:left w:val="single" w:color="auto" w:sz="6" w:space="0"/>
              <w:bottom w:val="single" w:color="auto" w:sz="6" w:space="0"/>
            </w:tcBorders>
            <w:noWrap w:val="0"/>
            <w:vAlign w:val="center"/>
          </w:tcPr>
          <w:p w14:paraId="6E6EE106">
            <w:pPr>
              <w:topLinePunct/>
              <w:spacing w:line="440" w:lineRule="exact"/>
              <w:jc w:val="center"/>
              <w:outlineLvl w:val="9"/>
              <w:rPr>
                <w:rFonts w:hint="eastAsia" w:ascii="仿宋" w:hAnsi="仿宋" w:eastAsia="仿宋" w:cs="仿宋"/>
                <w:color w:val="auto"/>
                <w:sz w:val="21"/>
                <w:szCs w:val="21"/>
                <w:highlight w:val="none"/>
              </w:rPr>
            </w:pPr>
          </w:p>
        </w:tc>
      </w:tr>
      <w:tr w14:paraId="3FF2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6" w:type="dxa"/>
            <w:gridSpan w:val="5"/>
            <w:tcBorders>
              <w:top w:val="single" w:color="auto" w:sz="6" w:space="0"/>
              <w:bottom w:val="single" w:color="auto" w:sz="6" w:space="0"/>
              <w:right w:val="single" w:color="auto" w:sz="6" w:space="0"/>
            </w:tcBorders>
            <w:noWrap w:val="0"/>
            <w:vAlign w:val="center"/>
          </w:tcPr>
          <w:p w14:paraId="04B68813">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58A1E49C">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等级</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51432A16">
            <w:pPr>
              <w:keepNext w:val="0"/>
              <w:keepLines w:val="0"/>
              <w:pageBreakBefore w:val="0"/>
              <w:widowControl w:val="0"/>
              <w:kinsoku/>
              <w:wordWrap/>
              <w:overflowPunct/>
              <w:topLinePunct/>
              <w:autoSpaceDE/>
              <w:autoSpaceDN/>
              <w:bidi w:val="0"/>
              <w:adjustRightInd/>
              <w:snapToGrid/>
              <w:spacing w:line="36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发证机关</w:t>
            </w:r>
          </w:p>
        </w:tc>
        <w:tc>
          <w:tcPr>
            <w:tcW w:w="3234" w:type="dxa"/>
            <w:gridSpan w:val="2"/>
            <w:tcBorders>
              <w:top w:val="single" w:color="auto" w:sz="6" w:space="0"/>
              <w:left w:val="single" w:color="auto" w:sz="6" w:space="0"/>
              <w:bottom w:val="single" w:color="auto" w:sz="6" w:space="0"/>
            </w:tcBorders>
            <w:noWrap w:val="0"/>
            <w:vAlign w:val="center"/>
          </w:tcPr>
          <w:p w14:paraId="2601DB10">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有效期</w:t>
            </w:r>
          </w:p>
        </w:tc>
      </w:tr>
      <w:tr w14:paraId="3A08B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6" w:type="dxa"/>
            <w:gridSpan w:val="5"/>
            <w:tcBorders>
              <w:top w:val="single" w:color="auto" w:sz="6" w:space="0"/>
              <w:bottom w:val="single" w:color="auto" w:sz="6" w:space="0"/>
              <w:right w:val="single" w:color="auto" w:sz="6" w:space="0"/>
            </w:tcBorders>
            <w:noWrap w:val="0"/>
            <w:vAlign w:val="center"/>
          </w:tcPr>
          <w:p w14:paraId="3CF934D9">
            <w:pPr>
              <w:topLinePunct/>
              <w:spacing w:line="440" w:lineRule="exact"/>
              <w:jc w:val="center"/>
              <w:outlineLvl w:val="9"/>
              <w:rPr>
                <w:rFonts w:hint="eastAsia" w:ascii="仿宋" w:hAnsi="仿宋" w:eastAsia="仿宋" w:cs="仿宋"/>
                <w:color w:val="auto"/>
                <w:sz w:val="21"/>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15EEFD80">
            <w:pPr>
              <w:topLinePunct/>
              <w:spacing w:line="440" w:lineRule="exact"/>
              <w:jc w:val="center"/>
              <w:outlineLvl w:val="9"/>
              <w:rPr>
                <w:rFonts w:hint="eastAsia" w:ascii="仿宋" w:hAnsi="仿宋" w:eastAsia="仿宋" w:cs="仿宋"/>
                <w:color w:val="auto"/>
                <w:sz w:val="21"/>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318B4FAF">
            <w:pPr>
              <w:topLinePunct/>
              <w:spacing w:line="440" w:lineRule="exact"/>
              <w:jc w:val="center"/>
              <w:outlineLvl w:val="9"/>
              <w:rPr>
                <w:rFonts w:hint="eastAsia" w:ascii="仿宋" w:hAnsi="仿宋" w:eastAsia="仿宋" w:cs="仿宋"/>
                <w:color w:val="auto"/>
                <w:sz w:val="21"/>
                <w:szCs w:val="21"/>
                <w:highlight w:val="none"/>
              </w:rPr>
            </w:pPr>
          </w:p>
        </w:tc>
        <w:tc>
          <w:tcPr>
            <w:tcW w:w="3234" w:type="dxa"/>
            <w:gridSpan w:val="2"/>
            <w:tcBorders>
              <w:top w:val="single" w:color="auto" w:sz="6" w:space="0"/>
              <w:left w:val="single" w:color="auto" w:sz="6" w:space="0"/>
              <w:bottom w:val="single" w:color="auto" w:sz="6" w:space="0"/>
            </w:tcBorders>
            <w:noWrap w:val="0"/>
            <w:vAlign w:val="center"/>
          </w:tcPr>
          <w:p w14:paraId="3FC5F7C3">
            <w:pPr>
              <w:topLinePunct/>
              <w:spacing w:line="440" w:lineRule="exact"/>
              <w:jc w:val="center"/>
              <w:outlineLvl w:val="9"/>
              <w:rPr>
                <w:rFonts w:hint="eastAsia" w:ascii="仿宋" w:hAnsi="仿宋" w:eastAsia="仿宋" w:cs="仿宋"/>
                <w:color w:val="auto"/>
                <w:sz w:val="21"/>
                <w:szCs w:val="21"/>
                <w:highlight w:val="none"/>
              </w:rPr>
            </w:pPr>
          </w:p>
        </w:tc>
      </w:tr>
      <w:tr w14:paraId="0792F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6" w:type="dxa"/>
            <w:gridSpan w:val="5"/>
            <w:tcBorders>
              <w:top w:val="single" w:color="auto" w:sz="6" w:space="0"/>
              <w:bottom w:val="single" w:color="auto" w:sz="6" w:space="0"/>
              <w:right w:val="single" w:color="auto" w:sz="6" w:space="0"/>
            </w:tcBorders>
            <w:noWrap w:val="0"/>
            <w:vAlign w:val="center"/>
          </w:tcPr>
          <w:p w14:paraId="57B1DB0D">
            <w:pPr>
              <w:topLinePunct/>
              <w:spacing w:line="440" w:lineRule="exact"/>
              <w:jc w:val="center"/>
              <w:outlineLvl w:val="9"/>
              <w:rPr>
                <w:rFonts w:hint="eastAsia" w:ascii="仿宋" w:hAnsi="仿宋" w:eastAsia="仿宋" w:cs="仿宋"/>
                <w:color w:val="auto"/>
                <w:sz w:val="21"/>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39ED8A55">
            <w:pPr>
              <w:topLinePunct/>
              <w:spacing w:line="440" w:lineRule="exact"/>
              <w:jc w:val="center"/>
              <w:outlineLvl w:val="9"/>
              <w:rPr>
                <w:rFonts w:hint="eastAsia" w:ascii="仿宋" w:hAnsi="仿宋" w:eastAsia="仿宋" w:cs="仿宋"/>
                <w:color w:val="auto"/>
                <w:sz w:val="21"/>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0A77C4D6">
            <w:pPr>
              <w:topLinePunct/>
              <w:spacing w:line="440" w:lineRule="exact"/>
              <w:jc w:val="center"/>
              <w:outlineLvl w:val="9"/>
              <w:rPr>
                <w:rFonts w:hint="eastAsia" w:ascii="仿宋" w:hAnsi="仿宋" w:eastAsia="仿宋" w:cs="仿宋"/>
                <w:color w:val="auto"/>
                <w:sz w:val="21"/>
                <w:szCs w:val="21"/>
                <w:highlight w:val="none"/>
              </w:rPr>
            </w:pPr>
          </w:p>
        </w:tc>
        <w:tc>
          <w:tcPr>
            <w:tcW w:w="3234" w:type="dxa"/>
            <w:gridSpan w:val="2"/>
            <w:tcBorders>
              <w:top w:val="single" w:color="auto" w:sz="6" w:space="0"/>
              <w:left w:val="single" w:color="auto" w:sz="6" w:space="0"/>
              <w:bottom w:val="single" w:color="auto" w:sz="6" w:space="0"/>
            </w:tcBorders>
            <w:noWrap w:val="0"/>
            <w:vAlign w:val="center"/>
          </w:tcPr>
          <w:p w14:paraId="5AF04685">
            <w:pPr>
              <w:topLinePunct/>
              <w:spacing w:line="440" w:lineRule="exact"/>
              <w:jc w:val="center"/>
              <w:outlineLvl w:val="9"/>
              <w:rPr>
                <w:rFonts w:hint="eastAsia" w:ascii="仿宋" w:hAnsi="仿宋" w:eastAsia="仿宋" w:cs="仿宋"/>
                <w:color w:val="auto"/>
                <w:sz w:val="21"/>
                <w:szCs w:val="21"/>
                <w:highlight w:val="none"/>
              </w:rPr>
            </w:pPr>
          </w:p>
        </w:tc>
      </w:tr>
      <w:tr w14:paraId="724C1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6" w:type="dxa"/>
            <w:gridSpan w:val="5"/>
            <w:tcBorders>
              <w:top w:val="single" w:color="auto" w:sz="6" w:space="0"/>
              <w:bottom w:val="single" w:color="auto" w:sz="6" w:space="0"/>
              <w:right w:val="single" w:color="auto" w:sz="6" w:space="0"/>
            </w:tcBorders>
            <w:noWrap w:val="0"/>
            <w:vAlign w:val="center"/>
          </w:tcPr>
          <w:p w14:paraId="0D0ED23B">
            <w:pPr>
              <w:topLinePunct/>
              <w:spacing w:line="440" w:lineRule="exact"/>
              <w:jc w:val="center"/>
              <w:outlineLvl w:val="9"/>
              <w:rPr>
                <w:rFonts w:hint="eastAsia" w:ascii="仿宋" w:hAnsi="仿宋" w:eastAsia="仿宋" w:cs="仿宋"/>
                <w:color w:val="auto"/>
                <w:sz w:val="21"/>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5F21CC87">
            <w:pPr>
              <w:topLinePunct/>
              <w:spacing w:line="440" w:lineRule="exact"/>
              <w:jc w:val="center"/>
              <w:outlineLvl w:val="9"/>
              <w:rPr>
                <w:rFonts w:hint="eastAsia" w:ascii="仿宋" w:hAnsi="仿宋" w:eastAsia="仿宋" w:cs="仿宋"/>
                <w:color w:val="auto"/>
                <w:sz w:val="21"/>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64298788">
            <w:pPr>
              <w:topLinePunct/>
              <w:spacing w:line="440" w:lineRule="exact"/>
              <w:jc w:val="center"/>
              <w:outlineLvl w:val="9"/>
              <w:rPr>
                <w:rFonts w:hint="eastAsia" w:ascii="仿宋" w:hAnsi="仿宋" w:eastAsia="仿宋" w:cs="仿宋"/>
                <w:color w:val="auto"/>
                <w:sz w:val="21"/>
                <w:szCs w:val="21"/>
                <w:highlight w:val="none"/>
              </w:rPr>
            </w:pPr>
          </w:p>
        </w:tc>
        <w:tc>
          <w:tcPr>
            <w:tcW w:w="3234" w:type="dxa"/>
            <w:gridSpan w:val="2"/>
            <w:tcBorders>
              <w:top w:val="single" w:color="auto" w:sz="6" w:space="0"/>
              <w:left w:val="single" w:color="auto" w:sz="6" w:space="0"/>
              <w:bottom w:val="single" w:color="auto" w:sz="6" w:space="0"/>
            </w:tcBorders>
            <w:noWrap w:val="0"/>
            <w:vAlign w:val="center"/>
          </w:tcPr>
          <w:p w14:paraId="43FA40F9">
            <w:pPr>
              <w:topLinePunct/>
              <w:spacing w:line="440" w:lineRule="exact"/>
              <w:jc w:val="center"/>
              <w:outlineLvl w:val="9"/>
              <w:rPr>
                <w:rFonts w:hint="eastAsia" w:ascii="仿宋" w:hAnsi="仿宋" w:eastAsia="仿宋" w:cs="仿宋"/>
                <w:color w:val="auto"/>
                <w:sz w:val="21"/>
                <w:szCs w:val="21"/>
                <w:highlight w:val="none"/>
              </w:rPr>
            </w:pPr>
          </w:p>
        </w:tc>
      </w:tr>
      <w:tr w14:paraId="3BA8E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6" w:type="dxa"/>
            <w:gridSpan w:val="5"/>
            <w:tcBorders>
              <w:top w:val="single" w:color="auto" w:sz="6" w:space="0"/>
              <w:bottom w:val="single" w:color="auto" w:sz="6" w:space="0"/>
              <w:right w:val="single" w:color="auto" w:sz="6" w:space="0"/>
            </w:tcBorders>
            <w:noWrap w:val="0"/>
            <w:vAlign w:val="center"/>
          </w:tcPr>
          <w:p w14:paraId="6CC57089">
            <w:pPr>
              <w:topLinePunct/>
              <w:spacing w:line="440" w:lineRule="exact"/>
              <w:jc w:val="center"/>
              <w:outlineLvl w:val="9"/>
              <w:rPr>
                <w:rFonts w:hint="eastAsia" w:ascii="仿宋" w:hAnsi="仿宋" w:eastAsia="仿宋" w:cs="仿宋"/>
                <w:color w:val="auto"/>
                <w:sz w:val="21"/>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0F52C9E8">
            <w:pPr>
              <w:topLinePunct/>
              <w:spacing w:line="440" w:lineRule="exact"/>
              <w:jc w:val="center"/>
              <w:outlineLvl w:val="9"/>
              <w:rPr>
                <w:rFonts w:hint="eastAsia" w:ascii="仿宋" w:hAnsi="仿宋" w:eastAsia="仿宋" w:cs="仿宋"/>
                <w:color w:val="auto"/>
                <w:sz w:val="21"/>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27A10ED3">
            <w:pPr>
              <w:topLinePunct/>
              <w:spacing w:line="440" w:lineRule="exact"/>
              <w:jc w:val="center"/>
              <w:outlineLvl w:val="9"/>
              <w:rPr>
                <w:rFonts w:hint="eastAsia" w:ascii="仿宋" w:hAnsi="仿宋" w:eastAsia="仿宋" w:cs="仿宋"/>
                <w:color w:val="auto"/>
                <w:sz w:val="21"/>
                <w:szCs w:val="21"/>
                <w:highlight w:val="none"/>
              </w:rPr>
            </w:pPr>
          </w:p>
        </w:tc>
        <w:tc>
          <w:tcPr>
            <w:tcW w:w="3234" w:type="dxa"/>
            <w:gridSpan w:val="2"/>
            <w:tcBorders>
              <w:top w:val="single" w:color="auto" w:sz="6" w:space="0"/>
              <w:left w:val="single" w:color="auto" w:sz="6" w:space="0"/>
              <w:bottom w:val="single" w:color="auto" w:sz="6" w:space="0"/>
            </w:tcBorders>
            <w:noWrap w:val="0"/>
            <w:vAlign w:val="center"/>
          </w:tcPr>
          <w:p w14:paraId="6936302F">
            <w:pPr>
              <w:topLinePunct/>
              <w:spacing w:line="440" w:lineRule="exact"/>
              <w:jc w:val="center"/>
              <w:outlineLvl w:val="9"/>
              <w:rPr>
                <w:rFonts w:hint="eastAsia" w:ascii="仿宋" w:hAnsi="仿宋" w:eastAsia="仿宋" w:cs="仿宋"/>
                <w:color w:val="auto"/>
                <w:sz w:val="21"/>
                <w:szCs w:val="21"/>
                <w:highlight w:val="none"/>
              </w:rPr>
            </w:pPr>
          </w:p>
        </w:tc>
      </w:tr>
      <w:tr w14:paraId="4FED8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257" w:type="dxa"/>
            <w:gridSpan w:val="2"/>
            <w:tcBorders>
              <w:top w:val="single" w:color="auto" w:sz="6" w:space="0"/>
              <w:right w:val="single" w:color="auto" w:sz="6" w:space="0"/>
            </w:tcBorders>
            <w:noWrap w:val="0"/>
            <w:vAlign w:val="center"/>
          </w:tcPr>
          <w:p w14:paraId="49C64BCF">
            <w:pPr>
              <w:topLinePunct/>
              <w:spacing w:line="440"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806" w:type="dxa"/>
            <w:gridSpan w:val="8"/>
            <w:tcBorders>
              <w:top w:val="single" w:color="auto" w:sz="6" w:space="0"/>
              <w:left w:val="single" w:color="auto" w:sz="6" w:space="0"/>
            </w:tcBorders>
            <w:noWrap w:val="0"/>
            <w:vAlign w:val="center"/>
          </w:tcPr>
          <w:p w14:paraId="6D3F541F">
            <w:pPr>
              <w:topLinePunct/>
              <w:spacing w:line="440" w:lineRule="exact"/>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上述资质证书</w:t>
            </w:r>
            <w:r>
              <w:rPr>
                <w:rFonts w:hint="eastAsia" w:ascii="仿宋" w:hAnsi="仿宋" w:eastAsia="仿宋" w:cs="仿宋"/>
                <w:color w:val="auto"/>
                <w:sz w:val="21"/>
                <w:szCs w:val="21"/>
                <w:highlight w:val="none"/>
              </w:rPr>
              <w:t>复印件</w:t>
            </w:r>
            <w:r>
              <w:rPr>
                <w:rFonts w:hint="eastAsia" w:ascii="仿宋" w:hAnsi="仿宋" w:eastAsia="仿宋" w:cs="仿宋"/>
                <w:color w:val="auto"/>
                <w:sz w:val="21"/>
                <w:szCs w:val="21"/>
                <w:highlight w:val="none"/>
                <w:lang w:val="en-US" w:eastAsia="zh-CN"/>
              </w:rPr>
              <w:t>等（如有）</w:t>
            </w:r>
          </w:p>
        </w:tc>
      </w:tr>
    </w:tbl>
    <w:p w14:paraId="145CFB79">
      <w:pPr>
        <w:outlineLvl w:val="9"/>
        <w:rPr>
          <w:rFonts w:hint="eastAsia" w:ascii="仿宋" w:hAnsi="仿宋" w:eastAsia="仿宋" w:cs="仿宋"/>
          <w:color w:val="auto"/>
          <w:szCs w:val="21"/>
          <w:highlight w:val="none"/>
        </w:rPr>
      </w:pPr>
    </w:p>
    <w:p w14:paraId="0424D6BC">
      <w:pPr>
        <w:jc w:val="left"/>
        <w:outlineLvl w:val="9"/>
        <w:rPr>
          <w:rFonts w:hint="eastAsia" w:ascii="仿宋" w:hAnsi="仿宋" w:eastAsia="仿宋" w:cs="仿宋"/>
          <w:color w:val="auto"/>
          <w:szCs w:val="21"/>
          <w:highlight w:val="none"/>
        </w:rPr>
      </w:pPr>
    </w:p>
    <w:p w14:paraId="19A6D7E9">
      <w:pPr>
        <w:jc w:val="left"/>
        <w:outlineLvl w:val="9"/>
        <w:rPr>
          <w:rFonts w:hint="eastAsia" w:ascii="仿宋" w:hAnsi="仿宋" w:eastAsia="仿宋" w:cs="仿宋"/>
          <w:color w:val="auto"/>
          <w:szCs w:val="21"/>
          <w:highlight w:val="none"/>
        </w:rPr>
      </w:pPr>
    </w:p>
    <w:p w14:paraId="25EEA465">
      <w:pPr>
        <w:jc w:val="left"/>
        <w:outlineLvl w:val="9"/>
        <w:rPr>
          <w:rFonts w:hint="eastAsia" w:ascii="仿宋" w:hAnsi="仿宋" w:eastAsia="仿宋" w:cs="仿宋"/>
          <w:color w:val="auto"/>
          <w:szCs w:val="21"/>
          <w:highlight w:val="none"/>
        </w:rPr>
      </w:pPr>
    </w:p>
    <w:p w14:paraId="5EFB13C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3B4A0DF">
      <w:pPr>
        <w:pStyle w:val="4"/>
        <w:keepNext w:val="0"/>
        <w:keepLines w:val="0"/>
        <w:pageBreakBefore w:val="0"/>
        <w:widowControl/>
        <w:kinsoku/>
        <w:wordWrap/>
        <w:overflowPunct/>
        <w:topLinePunct w:val="0"/>
        <w:autoSpaceDE/>
        <w:autoSpaceDN/>
        <w:bidi w:val="0"/>
        <w:adjustRightInd/>
        <w:snapToGrid/>
        <w:spacing w:before="161" w:beforeLines="50" w:line="360" w:lineRule="auto"/>
        <w:textAlignment w:val="auto"/>
        <w:rPr>
          <w:rFonts w:hint="eastAsia" w:ascii="仿宋" w:hAnsi="仿宋" w:eastAsia="仿宋" w:cs="仿宋"/>
          <w:color w:val="auto"/>
          <w:sz w:val="28"/>
          <w:szCs w:val="28"/>
          <w:highlight w:val="none"/>
          <w:lang w:val="en-US" w:eastAsia="zh-CN"/>
        </w:rPr>
      </w:pPr>
      <w:bookmarkStart w:id="188" w:name="_Toc28910"/>
      <w:bookmarkStart w:id="189" w:name="_Toc27623"/>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 xml:space="preserve">4-2 </w:t>
      </w:r>
      <w:r>
        <w:rPr>
          <w:rFonts w:hint="eastAsia" w:ascii="仿宋" w:hAnsi="仿宋" w:eastAsia="仿宋" w:cs="仿宋"/>
          <w:b/>
          <w:bCs/>
          <w:color w:val="auto"/>
          <w:spacing w:val="-20"/>
          <w:sz w:val="28"/>
          <w:szCs w:val="28"/>
          <w:highlight w:val="none"/>
          <w:lang w:val="en-US" w:eastAsia="zh-CN"/>
        </w:rPr>
        <w:t>法人或者其他组织的营业执照等主体资格证明文件，自然人的身份证明</w:t>
      </w:r>
      <w:bookmarkEnd w:id="188"/>
      <w:bookmarkEnd w:id="189"/>
    </w:p>
    <w:p w14:paraId="75870F6F">
      <w:pPr>
        <w:rPr>
          <w:rFonts w:hint="eastAsia" w:ascii="仿宋" w:hAnsi="仿宋" w:eastAsia="仿宋" w:cs="仿宋"/>
          <w:color w:val="auto"/>
        </w:rPr>
      </w:pPr>
    </w:p>
    <w:p w14:paraId="523404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spacing w:val="-6"/>
          <w:sz w:val="28"/>
          <w:szCs w:val="28"/>
          <w:highlight w:val="none"/>
        </w:rPr>
      </w:pPr>
      <w:r>
        <w:rPr>
          <w:rFonts w:hint="eastAsia" w:ascii="仿宋" w:hAnsi="仿宋" w:eastAsia="仿宋" w:cs="仿宋"/>
          <w:b/>
          <w:bCs/>
          <w:color w:val="auto"/>
          <w:spacing w:val="-6"/>
          <w:sz w:val="30"/>
          <w:szCs w:val="30"/>
          <w:highlight w:val="none"/>
        </w:rPr>
        <w:t>法人或者其他组织的营业执照等主体资格证明文件，自然人的身份证明</w:t>
      </w:r>
    </w:p>
    <w:p w14:paraId="7876BDCC">
      <w:pPr>
        <w:rPr>
          <w:rFonts w:hint="eastAsia" w:ascii="仿宋" w:hAnsi="仿宋" w:eastAsia="仿宋" w:cs="仿宋"/>
          <w:color w:val="auto"/>
        </w:rPr>
      </w:pPr>
    </w:p>
    <w:p w14:paraId="4D927D71">
      <w:pPr>
        <w:adjustRightInd w:val="0"/>
        <w:snapToGrid w:val="0"/>
        <w:spacing w:line="360" w:lineRule="auto"/>
        <w:ind w:firstLine="422" w:firstLineChars="200"/>
        <w:outlineLvl w:val="9"/>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）供应商为法人的，应提交营业执照或法人登记证书的复印件；</w:t>
      </w:r>
    </w:p>
    <w:p w14:paraId="183BA992">
      <w:pPr>
        <w:adjustRightInd w:val="0"/>
        <w:snapToGrid w:val="0"/>
        <w:spacing w:line="360" w:lineRule="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          （2）</w:t>
      </w:r>
      <w:r>
        <w:rPr>
          <w:rFonts w:hint="eastAsia" w:ascii="仿宋" w:hAnsi="仿宋" w:eastAsia="仿宋" w:cs="仿宋"/>
          <w:color w:val="auto"/>
          <w:sz w:val="21"/>
          <w:szCs w:val="21"/>
          <w:highlight w:val="none"/>
          <w:lang w:eastAsia="zh-CN"/>
        </w:rPr>
        <w:t>供应商为非法人组织的，应提交依法登记证书复印件；</w:t>
      </w:r>
    </w:p>
    <w:p w14:paraId="32828C9B">
      <w:pPr>
        <w:adjustRightInd w:val="0"/>
        <w:snapToGrid w:val="0"/>
        <w:spacing w:line="360" w:lineRule="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          （3）</w:t>
      </w:r>
      <w:r>
        <w:rPr>
          <w:rFonts w:hint="eastAsia" w:ascii="仿宋" w:hAnsi="仿宋" w:eastAsia="仿宋" w:cs="仿宋"/>
          <w:color w:val="auto"/>
          <w:sz w:val="21"/>
          <w:szCs w:val="21"/>
          <w:highlight w:val="none"/>
          <w:lang w:eastAsia="zh-CN"/>
        </w:rPr>
        <w:t>供应商为个体工商户的，应提交个体工商户营业执照复印件；</w:t>
      </w:r>
    </w:p>
    <w:p w14:paraId="3EA4B8B5">
      <w:pPr>
        <w:adjustRightInd w:val="0"/>
        <w:snapToGrid w:val="0"/>
        <w:spacing w:line="360" w:lineRule="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 xml:space="preserve">          （4）</w:t>
      </w:r>
      <w:r>
        <w:rPr>
          <w:rFonts w:hint="eastAsia" w:ascii="仿宋" w:hAnsi="仿宋" w:eastAsia="仿宋" w:cs="仿宋"/>
          <w:color w:val="auto"/>
          <w:sz w:val="21"/>
          <w:szCs w:val="21"/>
          <w:highlight w:val="none"/>
          <w:lang w:eastAsia="zh-CN"/>
        </w:rPr>
        <w:t>供应商为自然人的，应提交自然人的身份证明复印件。</w:t>
      </w:r>
    </w:p>
    <w:p w14:paraId="40A77217">
      <w:pPr>
        <w:adjustRightInd w:val="0"/>
        <w:snapToGrid w:val="0"/>
        <w:spacing w:line="360" w:lineRule="auto"/>
        <w:outlineLvl w:val="9"/>
        <w:rPr>
          <w:rFonts w:hint="eastAsia" w:ascii="仿宋" w:hAnsi="仿宋" w:eastAsia="仿宋" w:cs="仿宋"/>
          <w:color w:val="auto"/>
          <w:sz w:val="28"/>
          <w:szCs w:val="28"/>
          <w:highlight w:val="none"/>
        </w:rPr>
      </w:pPr>
    </w:p>
    <w:p w14:paraId="0F5FDC84">
      <w:pPr>
        <w:pStyle w:val="11"/>
        <w:rPr>
          <w:rFonts w:hint="eastAsia" w:ascii="仿宋" w:hAnsi="仿宋" w:eastAsia="仿宋" w:cs="仿宋"/>
          <w:color w:val="auto"/>
          <w:sz w:val="28"/>
          <w:szCs w:val="28"/>
          <w:highlight w:val="none"/>
        </w:rPr>
      </w:pPr>
    </w:p>
    <w:p w14:paraId="601F8D5F">
      <w:pPr>
        <w:spacing w:line="480" w:lineRule="exact"/>
        <w:ind w:right="23" w:rightChars="11"/>
        <w:outlineLvl w:val="9"/>
        <w:rPr>
          <w:rFonts w:hint="eastAsia" w:ascii="仿宋" w:hAnsi="仿宋" w:eastAsia="仿宋" w:cs="仿宋"/>
          <w:color w:val="auto"/>
          <w:sz w:val="24"/>
          <w:highlight w:val="none"/>
        </w:rPr>
      </w:pPr>
    </w:p>
    <w:p w14:paraId="0332CD25">
      <w:pPr>
        <w:spacing w:line="480" w:lineRule="exact"/>
        <w:ind w:right="23" w:rightChars="11"/>
        <w:outlineLvl w:val="9"/>
        <w:rPr>
          <w:rFonts w:hint="eastAsia" w:ascii="仿宋" w:hAnsi="仿宋" w:eastAsia="仿宋" w:cs="仿宋"/>
          <w:color w:val="auto"/>
          <w:sz w:val="24"/>
          <w:highlight w:val="none"/>
        </w:rPr>
      </w:pPr>
    </w:p>
    <w:p w14:paraId="05C08813">
      <w:pPr>
        <w:spacing w:line="480" w:lineRule="exact"/>
        <w:ind w:right="23" w:rightChars="11"/>
        <w:outlineLvl w:val="9"/>
        <w:rPr>
          <w:rFonts w:hint="eastAsia" w:ascii="仿宋" w:hAnsi="仿宋" w:eastAsia="仿宋" w:cs="仿宋"/>
          <w:color w:val="auto"/>
          <w:sz w:val="24"/>
          <w:highlight w:val="none"/>
        </w:rPr>
      </w:pPr>
    </w:p>
    <w:p w14:paraId="1EBC42B7">
      <w:pPr>
        <w:spacing w:line="480" w:lineRule="exact"/>
        <w:ind w:right="23" w:rightChars="11"/>
        <w:outlineLvl w:val="9"/>
        <w:rPr>
          <w:rFonts w:hint="eastAsia" w:ascii="仿宋" w:hAnsi="仿宋" w:eastAsia="仿宋" w:cs="仿宋"/>
          <w:color w:val="auto"/>
          <w:sz w:val="24"/>
          <w:highlight w:val="none"/>
        </w:rPr>
      </w:pPr>
    </w:p>
    <w:p w14:paraId="4C693E07">
      <w:pPr>
        <w:spacing w:line="480" w:lineRule="exact"/>
        <w:ind w:right="23" w:rightChars="11"/>
        <w:outlineLvl w:val="9"/>
        <w:rPr>
          <w:rFonts w:hint="eastAsia" w:ascii="仿宋" w:hAnsi="仿宋" w:eastAsia="仿宋" w:cs="仿宋"/>
          <w:color w:val="auto"/>
          <w:sz w:val="24"/>
          <w:highlight w:val="none"/>
        </w:rPr>
      </w:pPr>
    </w:p>
    <w:p w14:paraId="7F6219C9">
      <w:pPr>
        <w:spacing w:line="480" w:lineRule="exact"/>
        <w:ind w:right="23" w:rightChars="11"/>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0243F4B">
      <w:pPr>
        <w:pStyle w:val="4"/>
        <w:bidi w:val="0"/>
        <w:spacing w:line="360" w:lineRule="auto"/>
        <w:rPr>
          <w:rFonts w:hint="eastAsia" w:ascii="仿宋" w:hAnsi="仿宋" w:eastAsia="仿宋" w:cs="仿宋"/>
          <w:color w:val="auto"/>
          <w:sz w:val="28"/>
          <w:szCs w:val="28"/>
          <w:highlight w:val="none"/>
          <w:lang w:val="en-US" w:eastAsia="zh-CN"/>
        </w:rPr>
      </w:pPr>
      <w:bookmarkStart w:id="190" w:name="_Toc2292"/>
      <w:bookmarkStart w:id="191" w:name="_Toc20923"/>
      <w:r>
        <w:rPr>
          <w:rFonts w:hint="eastAsia" w:ascii="仿宋" w:hAnsi="仿宋" w:eastAsia="仿宋" w:cs="仿宋"/>
          <w:color w:val="auto"/>
          <w:sz w:val="28"/>
          <w:szCs w:val="28"/>
          <w:highlight w:val="none"/>
          <w:lang w:val="en-US" w:eastAsia="zh-CN"/>
        </w:rPr>
        <w:t>附件4-3 湖南省政府采购供应商资格承诺函(格式)</w:t>
      </w:r>
      <w:bookmarkEnd w:id="190"/>
      <w:bookmarkEnd w:id="191"/>
    </w:p>
    <w:p w14:paraId="462712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t>湖南省</w:t>
      </w:r>
      <w:r>
        <w:rPr>
          <w:rFonts w:hint="eastAsia" w:ascii="仿宋" w:hAnsi="仿宋" w:eastAsia="仿宋" w:cs="仿宋"/>
          <w:b/>
          <w:bCs/>
          <w:color w:val="auto"/>
          <w:spacing w:val="-6"/>
          <w:sz w:val="30"/>
          <w:szCs w:val="30"/>
          <w:highlight w:val="none"/>
          <w:lang w:val="en-US" w:eastAsia="zh-CN"/>
        </w:rPr>
        <w:t>政府</w:t>
      </w:r>
      <w:r>
        <w:rPr>
          <w:rFonts w:hint="eastAsia" w:ascii="仿宋" w:hAnsi="仿宋" w:eastAsia="仿宋" w:cs="仿宋"/>
          <w:b/>
          <w:bCs/>
          <w:color w:val="auto"/>
          <w:spacing w:val="-6"/>
          <w:sz w:val="30"/>
          <w:szCs w:val="30"/>
          <w:highlight w:val="none"/>
          <w:lang w:eastAsia="zh-CN"/>
        </w:rPr>
        <w:t>采购</w:t>
      </w:r>
      <w:r>
        <w:rPr>
          <w:rFonts w:hint="eastAsia" w:ascii="仿宋" w:hAnsi="仿宋" w:eastAsia="仿宋" w:cs="仿宋"/>
          <w:b/>
          <w:bCs/>
          <w:color w:val="auto"/>
          <w:spacing w:val="-6"/>
          <w:sz w:val="30"/>
          <w:szCs w:val="30"/>
          <w:highlight w:val="none"/>
        </w:rPr>
        <w:t>供应商资格承诺函(格式)</w:t>
      </w:r>
    </w:p>
    <w:p w14:paraId="4C5407B6">
      <w:pPr>
        <w:widowControl/>
        <w:spacing w:before="156" w:before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本公司独立承担民事责任、具有良好的商业信誉和健全的财务会计制度、依法缴纳税收和社会保障资金,在前三年的经营活动中无重大违法记录,未列入严重失信行为名单,符合</w:t>
      </w:r>
      <w:r>
        <w:rPr>
          <w:rFonts w:hint="eastAsia" w:ascii="仿宋" w:hAnsi="仿宋" w:eastAsia="仿宋" w:cs="仿宋"/>
          <w:color w:val="auto"/>
          <w:sz w:val="21"/>
          <w:szCs w:val="21"/>
          <w:lang w:val="en-US" w:eastAsia="zh-CN"/>
        </w:rPr>
        <w:t>政府</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供应商的基本资格要求。</w:t>
      </w:r>
    </w:p>
    <w:p w14:paraId="3F1DEE8B">
      <w:pPr>
        <w:widowControl/>
        <w:spacing w:before="156" w:before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按照《</w:t>
      </w:r>
      <w:r>
        <w:rPr>
          <w:rFonts w:hint="eastAsia" w:ascii="仿宋" w:hAnsi="仿宋" w:eastAsia="仿宋" w:cs="仿宋"/>
          <w:color w:val="auto"/>
          <w:sz w:val="21"/>
          <w:szCs w:val="21"/>
          <w:lang w:val="en-US" w:eastAsia="zh-CN"/>
        </w:rPr>
        <w:t>政府</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 xml:space="preserve">促进中小企业发展管理办法》(财库〔2020〕46号),本公司企业规模为: </w:t>
      </w:r>
    </w:p>
    <w:p w14:paraId="3C0DC836">
      <w:pPr>
        <w:widowControl/>
        <w:spacing w:before="156" w:before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大型□    中型□    小型□    微型□。</w:t>
      </w:r>
    </w:p>
    <w:p w14:paraId="053EF6DE">
      <w:pPr>
        <w:widowControl/>
        <w:spacing w:before="156" w:before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□本公司自愿入驻湖南省</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电子卖场,遵守《湖南省</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电子卖场管理办法》(湘财购〔2019〕27号),如违反承诺,同意金融机构将增信保证划缴国库(非电子卖场采购活动项目不需勾选)。</w:t>
      </w:r>
    </w:p>
    <w:p w14:paraId="78482F59">
      <w:pPr>
        <w:widowControl/>
        <w:spacing w:before="156" w:beforeLines="50" w:line="360" w:lineRule="auto"/>
        <w:ind w:firstLine="420" w:firstLineChars="200"/>
        <w:jc w:val="left"/>
        <w:rPr>
          <w:rFonts w:hint="eastAsia" w:ascii="仿宋" w:hAnsi="仿宋" w:eastAsia="仿宋" w:cs="仿宋"/>
          <w:color w:val="auto"/>
          <w:sz w:val="21"/>
          <w:szCs w:val="21"/>
        </w:rPr>
      </w:pPr>
    </w:p>
    <w:p w14:paraId="550A96DF">
      <w:pPr>
        <w:widowControl/>
        <w:spacing w:before="156" w:beforeLines="50" w:line="360" w:lineRule="auto"/>
        <w:ind w:firstLine="4410" w:firstLineChars="2100"/>
        <w:jc w:val="left"/>
        <w:rPr>
          <w:rFonts w:hint="eastAsia" w:ascii="仿宋" w:hAnsi="仿宋" w:eastAsia="仿宋" w:cs="仿宋"/>
          <w:color w:val="auto"/>
          <w:sz w:val="21"/>
          <w:szCs w:val="21"/>
        </w:rPr>
      </w:pPr>
    </w:p>
    <w:p w14:paraId="7FF90AC8">
      <w:pPr>
        <w:widowControl/>
        <w:spacing w:before="156" w:beforeLines="50" w:line="360" w:lineRule="auto"/>
        <w:ind w:firstLine="4410" w:firstLineChars="2100"/>
        <w:jc w:val="left"/>
        <w:rPr>
          <w:rFonts w:hint="eastAsia" w:ascii="仿宋" w:hAnsi="仿宋" w:eastAsia="仿宋" w:cs="仿宋"/>
          <w:color w:val="auto"/>
          <w:sz w:val="21"/>
          <w:szCs w:val="21"/>
          <w:u w:val="single"/>
        </w:rPr>
      </w:pPr>
      <w:r>
        <w:rPr>
          <w:rFonts w:hint="eastAsia" w:ascii="仿宋" w:hAnsi="仿宋" w:eastAsia="仿宋" w:cs="仿宋"/>
          <w:color w:val="auto"/>
          <w:sz w:val="21"/>
          <w:szCs w:val="21"/>
        </w:rPr>
        <w:t>公司(单位)名称(盖章)：</w:t>
      </w:r>
      <w:r>
        <w:rPr>
          <w:rFonts w:hint="eastAsia" w:ascii="仿宋" w:hAnsi="仿宋" w:eastAsia="仿宋" w:cs="仿宋"/>
          <w:color w:val="auto"/>
          <w:sz w:val="21"/>
          <w:szCs w:val="21"/>
          <w:u w:val="single"/>
        </w:rPr>
        <w:t xml:space="preserve">                        </w:t>
      </w:r>
    </w:p>
    <w:p w14:paraId="3178C6D6">
      <w:pPr>
        <w:pStyle w:val="11"/>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p>
    <w:p w14:paraId="1026E62E">
      <w:pPr>
        <w:widowControl/>
        <w:spacing w:before="156" w:beforeLines="50" w:line="360" w:lineRule="auto"/>
        <w:ind w:firstLine="420" w:firstLineChars="200"/>
        <w:jc w:val="left"/>
        <w:rPr>
          <w:rFonts w:hint="eastAsia" w:ascii="仿宋" w:hAnsi="仿宋" w:eastAsia="仿宋" w:cs="仿宋"/>
          <w:color w:val="auto"/>
          <w:sz w:val="21"/>
          <w:szCs w:val="21"/>
        </w:rPr>
      </w:pPr>
    </w:p>
    <w:p w14:paraId="32AC7F65">
      <w:pPr>
        <w:widowControl/>
        <w:spacing w:before="156" w:before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机构代码、注册登记机构、日期、有效期、注册资本、地 址、经济行业、经济性质：</w:t>
      </w:r>
    </w:p>
    <w:p w14:paraId="56F73BC4">
      <w:pPr>
        <w:widowControl/>
        <w:spacing w:before="156" w:before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法定代表人(负责人)姓名(签字)、身份证号、手机号:</w:t>
      </w:r>
    </w:p>
    <w:p w14:paraId="1A6516C1">
      <w:pPr>
        <w:widowControl/>
        <w:spacing w:before="156" w:beforeLines="50"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授权代表人姓名(签字)、身份证号、手机号:</w:t>
      </w:r>
    </w:p>
    <w:p w14:paraId="0A50937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0E4C34E5">
      <w:pPr>
        <w:pStyle w:val="4"/>
        <w:keepNext w:val="0"/>
        <w:keepLines w:val="0"/>
        <w:pageBreakBefore w:val="0"/>
        <w:kinsoku/>
        <w:wordWrap/>
        <w:overflowPunct/>
        <w:topLinePunct w:val="0"/>
        <w:autoSpaceDE/>
        <w:autoSpaceDN/>
        <w:bidi w:val="0"/>
        <w:adjustRightInd/>
        <w:snapToGrid/>
        <w:spacing w:before="20" w:line="360" w:lineRule="auto"/>
        <w:textAlignment w:val="auto"/>
        <w:rPr>
          <w:rFonts w:hint="eastAsia" w:ascii="仿宋" w:hAnsi="仿宋" w:eastAsia="仿宋" w:cs="仿宋"/>
          <w:color w:val="auto"/>
          <w:sz w:val="28"/>
          <w:szCs w:val="28"/>
          <w:highlight w:val="none"/>
          <w:lang w:val="en-US" w:eastAsia="zh-CN"/>
        </w:rPr>
      </w:pPr>
      <w:bookmarkStart w:id="192" w:name="_Toc21411"/>
      <w:bookmarkStart w:id="193" w:name="_Toc26608"/>
      <w:r>
        <w:rPr>
          <w:rFonts w:hint="eastAsia" w:ascii="仿宋" w:hAnsi="仿宋" w:eastAsia="仿宋" w:cs="仿宋"/>
          <w:color w:val="auto"/>
          <w:sz w:val="28"/>
          <w:szCs w:val="28"/>
          <w:highlight w:val="none"/>
          <w:lang w:val="en-US" w:eastAsia="zh-CN"/>
        </w:rPr>
        <w:t>附件4-4 采购文件规定的其他资格条件证明文件</w:t>
      </w:r>
      <w:bookmarkEnd w:id="192"/>
      <w:bookmarkEnd w:id="193"/>
    </w:p>
    <w:p w14:paraId="67953424">
      <w:pPr>
        <w:rPr>
          <w:rFonts w:hint="eastAsia" w:ascii="仿宋" w:hAnsi="仿宋" w:eastAsia="仿宋" w:cs="仿宋"/>
          <w:color w:val="auto"/>
          <w:lang w:val="en-US" w:eastAsia="zh-CN"/>
        </w:rPr>
      </w:pPr>
    </w:p>
    <w:p w14:paraId="6AEBAE0C">
      <w:pPr>
        <w:pStyle w:val="11"/>
        <w:keepNext w:val="0"/>
        <w:keepLines w:val="0"/>
        <w:pageBreakBefore w:val="0"/>
        <w:kinsoku/>
        <w:wordWrap/>
        <w:overflowPunct/>
        <w:topLinePunct w:val="0"/>
        <w:autoSpaceDE/>
        <w:autoSpaceDN/>
        <w:bidi w:val="0"/>
        <w:adjustRightInd/>
        <w:snapToGrid/>
        <w:spacing w:before="20" w:line="360" w:lineRule="auto"/>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采购文件规定的其他资格条件证明文件</w:t>
      </w:r>
    </w:p>
    <w:p w14:paraId="4A192D83">
      <w:pPr>
        <w:rPr>
          <w:rFonts w:hint="eastAsia" w:ascii="仿宋" w:hAnsi="仿宋" w:eastAsia="仿宋" w:cs="仿宋"/>
          <w:color w:val="auto"/>
          <w:highlight w:val="none"/>
        </w:rPr>
      </w:pPr>
    </w:p>
    <w:p w14:paraId="02F253BC">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4F4D1FC">
      <w:pPr>
        <w:pStyle w:val="4"/>
        <w:keepNext w:val="0"/>
        <w:keepLines w:val="0"/>
        <w:pageBreakBefore w:val="0"/>
        <w:kinsoku/>
        <w:wordWrap/>
        <w:overflowPunct/>
        <w:topLinePunct w:val="0"/>
        <w:autoSpaceDE/>
        <w:autoSpaceDN/>
        <w:bidi w:val="0"/>
        <w:adjustRightInd/>
        <w:snapToGrid/>
        <w:spacing w:before="20" w:line="360" w:lineRule="auto"/>
        <w:jc w:val="both"/>
        <w:textAlignment w:val="auto"/>
        <w:rPr>
          <w:rFonts w:hint="eastAsia" w:ascii="仿宋" w:hAnsi="仿宋" w:eastAsia="仿宋" w:cs="仿宋"/>
          <w:color w:val="auto"/>
          <w:sz w:val="28"/>
          <w:szCs w:val="28"/>
          <w:highlight w:val="none"/>
          <w:lang w:val="en-US" w:eastAsia="zh-CN"/>
        </w:rPr>
      </w:pPr>
      <w:bookmarkStart w:id="194" w:name="_Toc32430"/>
      <w:bookmarkStart w:id="195" w:name="_Toc23235"/>
      <w:r>
        <w:rPr>
          <w:rFonts w:hint="eastAsia" w:ascii="仿宋" w:hAnsi="仿宋" w:eastAsia="仿宋" w:cs="仿宋"/>
          <w:color w:val="auto"/>
          <w:sz w:val="28"/>
          <w:szCs w:val="28"/>
          <w:highlight w:val="none"/>
          <w:lang w:val="en-US" w:eastAsia="zh-CN"/>
        </w:rPr>
        <w:t>附件4-5 在“</w:t>
      </w:r>
      <w:r>
        <w:rPr>
          <w:rFonts w:hint="eastAsia" w:ascii="仿宋" w:hAnsi="仿宋" w:eastAsia="仿宋" w:cs="仿宋"/>
          <w:color w:val="auto"/>
          <w:highlight w:val="none"/>
          <w:lang w:val="zh-CN"/>
        </w:rPr>
        <w:t>信用中国”</w:t>
      </w:r>
      <w:r>
        <w:rPr>
          <w:rFonts w:hint="eastAsia" w:ascii="仿宋" w:hAnsi="仿宋" w:eastAsia="仿宋" w:cs="仿宋"/>
          <w:color w:val="auto"/>
          <w:highlight w:val="none"/>
          <w:lang w:val="en-US" w:eastAsia="zh-CN"/>
        </w:rPr>
        <w:t>网站及</w:t>
      </w:r>
      <w:r>
        <w:rPr>
          <w:rFonts w:hint="eastAsia" w:ascii="仿宋" w:hAnsi="仿宋" w:eastAsia="仿宋" w:cs="仿宋"/>
          <w:color w:val="auto"/>
          <w:highlight w:val="none"/>
          <w:lang w:val="zh-CN"/>
        </w:rPr>
        <w:t>“中国采购网”</w:t>
      </w:r>
      <w:r>
        <w:rPr>
          <w:rFonts w:hint="eastAsia" w:ascii="仿宋" w:hAnsi="仿宋" w:eastAsia="仿宋" w:cs="仿宋"/>
          <w:color w:val="auto"/>
          <w:highlight w:val="none"/>
          <w:lang w:val="en-US" w:eastAsia="zh-CN"/>
        </w:rPr>
        <w:t>无不良信用记录的截图</w:t>
      </w:r>
      <w:bookmarkEnd w:id="194"/>
    </w:p>
    <w:p w14:paraId="29D6FED8">
      <w:pPr>
        <w:rPr>
          <w:rFonts w:hint="eastAsia" w:ascii="仿宋" w:hAnsi="仿宋" w:eastAsia="仿宋" w:cs="仿宋"/>
          <w:color w:val="auto"/>
          <w:lang w:val="en-US" w:eastAsia="zh-CN"/>
        </w:rPr>
      </w:pPr>
    </w:p>
    <w:p w14:paraId="4F40BF62">
      <w:pPr>
        <w:pStyle w:val="11"/>
        <w:keepNext w:val="0"/>
        <w:keepLines w:val="0"/>
        <w:pageBreakBefore w:val="0"/>
        <w:kinsoku/>
        <w:wordWrap/>
        <w:overflowPunct/>
        <w:topLinePunct w:val="0"/>
        <w:autoSpaceDE/>
        <w:autoSpaceDN/>
        <w:bidi w:val="0"/>
        <w:adjustRightInd/>
        <w:snapToGrid/>
        <w:spacing w:before="20" w:line="360" w:lineRule="auto"/>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在“信用中国”网站及“中国采购网”无不良信用记录的截图</w:t>
      </w:r>
    </w:p>
    <w:p w14:paraId="14EDFC13">
      <w:pPr>
        <w:rPr>
          <w:rFonts w:hint="eastAsia" w:ascii="仿宋" w:hAnsi="仿宋" w:eastAsia="仿宋" w:cs="仿宋"/>
          <w:color w:val="auto"/>
          <w:highlight w:val="none"/>
        </w:rPr>
      </w:pPr>
    </w:p>
    <w:p w14:paraId="605D1CC4">
      <w:pPr>
        <w:pStyle w:val="11"/>
        <w:spacing w:before="5"/>
        <w:ind w:firstLine="42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备注：提供</w:t>
      </w:r>
      <w:r>
        <w:rPr>
          <w:rFonts w:hint="eastAsia" w:ascii="仿宋" w:hAnsi="仿宋" w:eastAsia="仿宋" w:cs="仿宋"/>
          <w:b/>
          <w:bCs/>
          <w:color w:val="auto"/>
          <w:highlight w:val="none"/>
          <w:lang w:val="en-US" w:eastAsia="zh-CN"/>
        </w:rPr>
        <w:t>在“</w:t>
      </w:r>
      <w:r>
        <w:rPr>
          <w:rFonts w:hint="eastAsia" w:ascii="仿宋" w:hAnsi="仿宋" w:eastAsia="仿宋" w:cs="仿宋"/>
          <w:b/>
          <w:bCs/>
          <w:color w:val="auto"/>
          <w:highlight w:val="none"/>
          <w:lang w:val="zh-CN"/>
        </w:rPr>
        <w:t>信用中国”</w:t>
      </w:r>
      <w:r>
        <w:rPr>
          <w:rFonts w:hint="eastAsia" w:ascii="仿宋" w:hAnsi="仿宋" w:eastAsia="仿宋" w:cs="仿宋"/>
          <w:b/>
          <w:bCs/>
          <w:color w:val="auto"/>
          <w:highlight w:val="none"/>
          <w:lang w:val="en-US" w:eastAsia="zh-CN"/>
        </w:rPr>
        <w:t>网站及</w:t>
      </w:r>
      <w:r>
        <w:rPr>
          <w:rFonts w:hint="eastAsia" w:ascii="仿宋" w:hAnsi="仿宋" w:eastAsia="仿宋" w:cs="仿宋"/>
          <w:b/>
          <w:bCs/>
          <w:color w:val="auto"/>
          <w:highlight w:val="none"/>
          <w:lang w:val="zh-CN"/>
        </w:rPr>
        <w:t>“中国采购网”</w:t>
      </w:r>
      <w:r>
        <w:rPr>
          <w:rFonts w:hint="eastAsia" w:ascii="仿宋" w:hAnsi="仿宋" w:eastAsia="仿宋" w:cs="仿宋"/>
          <w:b/>
          <w:bCs/>
          <w:color w:val="auto"/>
          <w:highlight w:val="none"/>
          <w:lang w:val="en-US" w:eastAsia="zh-CN"/>
        </w:rPr>
        <w:t>无不良信用记录的截图</w:t>
      </w:r>
      <w:r>
        <w:rPr>
          <w:rFonts w:hint="eastAsia" w:ascii="仿宋" w:hAnsi="仿宋" w:eastAsia="仿宋" w:cs="仿宋"/>
          <w:b/>
          <w:bCs/>
          <w:color w:val="auto"/>
          <w:highlight w:val="none"/>
        </w:rPr>
        <w:t>。</w:t>
      </w:r>
    </w:p>
    <w:p w14:paraId="14297F79">
      <w:pP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highlight w:val="none"/>
        </w:rPr>
        <w:br w:type="page"/>
      </w:r>
    </w:p>
    <w:p w14:paraId="7DE4BE83">
      <w:pPr>
        <w:pStyle w:val="4"/>
        <w:keepNext w:val="0"/>
        <w:keepLines w:val="0"/>
        <w:pageBreakBefore w:val="0"/>
        <w:kinsoku/>
        <w:wordWrap/>
        <w:overflowPunct/>
        <w:topLinePunct w:val="0"/>
        <w:autoSpaceDE/>
        <w:autoSpaceDN/>
        <w:bidi w:val="0"/>
        <w:adjustRightInd/>
        <w:snapToGrid/>
        <w:spacing w:before="20" w:line="360" w:lineRule="auto"/>
        <w:jc w:val="both"/>
        <w:textAlignment w:val="auto"/>
        <w:rPr>
          <w:rFonts w:hint="eastAsia" w:ascii="仿宋" w:hAnsi="仿宋" w:eastAsia="仿宋" w:cs="仿宋"/>
          <w:color w:val="auto"/>
          <w:sz w:val="28"/>
          <w:szCs w:val="28"/>
          <w:highlight w:val="none"/>
          <w:lang w:val="en-US" w:eastAsia="zh-CN"/>
        </w:rPr>
      </w:pPr>
      <w:bookmarkStart w:id="196" w:name="_Toc23826"/>
      <w:r>
        <w:rPr>
          <w:rFonts w:hint="eastAsia" w:ascii="仿宋" w:hAnsi="仿宋" w:eastAsia="仿宋" w:cs="仿宋"/>
          <w:color w:val="auto"/>
          <w:sz w:val="28"/>
          <w:szCs w:val="28"/>
          <w:highlight w:val="none"/>
          <w:lang w:val="en-US" w:eastAsia="zh-CN"/>
        </w:rPr>
        <w:t>附件4-6 投标保证金</w:t>
      </w:r>
      <w:bookmarkEnd w:id="195"/>
      <w:bookmarkEnd w:id="196"/>
    </w:p>
    <w:p w14:paraId="366284BA">
      <w:pPr>
        <w:rPr>
          <w:rFonts w:hint="eastAsia" w:ascii="仿宋" w:hAnsi="仿宋" w:eastAsia="仿宋" w:cs="仿宋"/>
          <w:color w:val="auto"/>
          <w:highlight w:val="none"/>
        </w:rPr>
      </w:pPr>
    </w:p>
    <w:p w14:paraId="7688854C">
      <w:pPr>
        <w:adjustRightInd w:val="0"/>
        <w:snapToGrid w:val="0"/>
        <w:spacing w:line="360" w:lineRule="auto"/>
        <w:ind w:firstLine="422" w:firstLineChars="200"/>
        <w:jc w:val="center"/>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备</w:t>
      </w:r>
      <w:r>
        <w:rPr>
          <w:rFonts w:hint="eastAsia" w:ascii="仿宋" w:hAnsi="仿宋" w:eastAsia="仿宋" w:cs="仿宋"/>
          <w:b/>
          <w:color w:val="auto"/>
          <w:sz w:val="21"/>
          <w:szCs w:val="21"/>
          <w:highlight w:val="none"/>
        </w:rPr>
        <w:t>注：</w:t>
      </w:r>
      <w:r>
        <w:rPr>
          <w:rFonts w:hint="eastAsia" w:ascii="仿宋" w:hAnsi="仿宋" w:eastAsia="仿宋" w:cs="仿宋"/>
          <w:b/>
          <w:color w:val="auto"/>
          <w:sz w:val="21"/>
          <w:szCs w:val="21"/>
          <w:highlight w:val="none"/>
          <w:lang w:val="en-US" w:eastAsia="zh-CN"/>
        </w:rPr>
        <w:t>本项目不收取投标保证金</w:t>
      </w:r>
      <w:r>
        <w:rPr>
          <w:rFonts w:hint="eastAsia" w:ascii="仿宋" w:hAnsi="仿宋" w:eastAsia="仿宋" w:cs="仿宋"/>
          <w:b/>
          <w:color w:val="auto"/>
          <w:sz w:val="21"/>
          <w:szCs w:val="21"/>
          <w:highlight w:val="none"/>
        </w:rPr>
        <w:t>。</w:t>
      </w:r>
    </w:p>
    <w:p w14:paraId="11864E00">
      <w:pPr>
        <w:pStyle w:val="41"/>
        <w:rPr>
          <w:rFonts w:hint="eastAsia" w:ascii="仿宋" w:hAnsi="仿宋" w:eastAsia="仿宋" w:cs="仿宋"/>
          <w:color w:val="auto"/>
        </w:rPr>
      </w:pPr>
    </w:p>
    <w:p w14:paraId="06F1FB65">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6192C040">
      <w:pPr>
        <w:tabs>
          <w:tab w:val="left" w:pos="4725"/>
        </w:tabs>
        <w:adjustRightInd w:val="0"/>
        <w:snapToGrid w:val="0"/>
        <w:spacing w:before="180" w:beforeLines="50" w:line="360" w:lineRule="auto"/>
        <w:ind w:firstLine="735" w:firstLineChars="350"/>
        <w:rPr>
          <w:rFonts w:hint="eastAsia" w:ascii="宋体" w:hAnsi="宋体"/>
          <w:color w:val="auto"/>
          <w:szCs w:val="21"/>
          <w:highlight w:val="none"/>
          <w:lang w:eastAsia="zh-CN"/>
        </w:rPr>
      </w:pPr>
      <w:bookmarkStart w:id="197" w:name="_Toc29067"/>
      <w:bookmarkStart w:id="198" w:name="_Toc3583"/>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供应商资格声明(格式)</w:t>
      </w:r>
    </w:p>
    <w:p w14:paraId="074AFB0B">
      <w:pPr>
        <w:jc w:val="center"/>
        <w:outlineLvl w:val="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供应商资格声明(格式)</w:t>
      </w:r>
    </w:p>
    <w:p w14:paraId="6FF2C32C">
      <w:pPr>
        <w:pStyle w:val="46"/>
        <w:rPr>
          <w:rFonts w:hint="eastAsia" w:ascii="华文楷体" w:hAnsi="华文楷体" w:eastAsia="华文楷体" w:cs="华文楷体"/>
          <w:sz w:val="32"/>
          <w:szCs w:val="32"/>
        </w:rPr>
      </w:pPr>
    </w:p>
    <w:p w14:paraId="6C46BE19">
      <w:pPr>
        <w:adjustRightInd w:val="0"/>
        <w:snapToGrid w:val="0"/>
        <w:spacing w:before="156" w:beforeLines="50" w:line="360" w:lineRule="auto"/>
        <w:jc w:val="left"/>
        <w:rPr>
          <w:rFonts w:hint="eastAsia" w:ascii="华文楷体" w:hAnsi="华文楷体" w:eastAsia="华文楷体" w:cs="华文楷体"/>
          <w:kern w:val="0"/>
          <w:sz w:val="24"/>
        </w:rPr>
      </w:pPr>
      <w:r>
        <w:rPr>
          <w:rFonts w:hint="eastAsia" w:ascii="华文楷体" w:hAnsi="华文楷体" w:eastAsia="华文楷体" w:cs="华文楷体"/>
          <w:sz w:val="24"/>
        </w:rPr>
        <w:t>致</w:t>
      </w:r>
      <w:r>
        <w:rPr>
          <w:rFonts w:hint="eastAsia" w:ascii="华文楷体" w:hAnsi="华文楷体" w:eastAsia="华文楷体" w:cs="华文楷体"/>
          <w:sz w:val="24"/>
          <w:u w:val="single"/>
        </w:rPr>
        <w:t xml:space="preserve">                        </w:t>
      </w:r>
      <w:r>
        <w:rPr>
          <w:rFonts w:hint="eastAsia" w:ascii="华文楷体" w:hAnsi="华文楷体" w:eastAsia="华文楷体" w:cs="华文楷体"/>
          <w:sz w:val="24"/>
        </w:rPr>
        <w:t>(采购人或者采购代理机构)：</w:t>
      </w:r>
    </w:p>
    <w:p w14:paraId="78C1C399">
      <w:pPr>
        <w:adjustRightInd w:val="0"/>
        <w:snapToGrid w:val="0"/>
        <w:spacing w:before="156" w:beforeLines="50" w:line="360" w:lineRule="auto"/>
        <w:ind w:firstLine="480" w:firstLineChars="200"/>
        <w:jc w:val="left"/>
        <w:rPr>
          <w:rFonts w:hint="eastAsia" w:ascii="华文楷体" w:hAnsi="华文楷体" w:eastAsia="华文楷体" w:cs="华文楷体"/>
          <w:kern w:val="0"/>
          <w:sz w:val="24"/>
        </w:rPr>
      </w:pPr>
      <w:r>
        <w:rPr>
          <w:rFonts w:hint="eastAsia" w:ascii="华文楷体" w:hAnsi="华文楷体" w:eastAsia="华文楷体" w:cs="华文楷体"/>
          <w:sz w:val="24"/>
        </w:rPr>
        <w:t>按照《中华人民共和国政府采购法》第二十二条和</w:t>
      </w:r>
      <w:r>
        <w:rPr>
          <w:rFonts w:hint="eastAsia" w:ascii="华文楷体" w:hAnsi="华文楷体" w:eastAsia="华文楷体" w:cs="华文楷体"/>
          <w:sz w:val="24"/>
          <w:lang w:eastAsia="zh-CN"/>
        </w:rPr>
        <w:t>磋商</w:t>
      </w:r>
      <w:r>
        <w:rPr>
          <w:rFonts w:hint="eastAsia" w:ascii="华文楷体" w:hAnsi="华文楷体" w:eastAsia="华文楷体" w:cs="华文楷体"/>
          <w:sz w:val="24"/>
        </w:rPr>
        <w:t>文件的规定，我单位郑重声明如下：</w:t>
      </w:r>
    </w:p>
    <w:p w14:paraId="3DD54F83">
      <w:pPr>
        <w:adjustRightInd w:val="0"/>
        <w:snapToGrid w:val="0"/>
        <w:spacing w:before="156" w:beforeLines="50" w:line="360" w:lineRule="auto"/>
        <w:ind w:firstLine="480" w:firstLineChars="200"/>
        <w:jc w:val="left"/>
        <w:rPr>
          <w:rFonts w:hint="eastAsia" w:ascii="华文楷体" w:hAnsi="华文楷体" w:eastAsia="华文楷体" w:cs="华文楷体"/>
          <w:kern w:val="0"/>
          <w:sz w:val="24"/>
        </w:rPr>
      </w:pPr>
      <w:r>
        <w:rPr>
          <w:rFonts w:hint="eastAsia" w:ascii="华文楷体" w:hAnsi="华文楷体" w:eastAsia="华文楷体" w:cs="华文楷体"/>
          <w:sz w:val="24"/>
        </w:rPr>
        <w:t>一、我单位是按照中华人民共和国法律规定登记注册的，注册地点为</w:t>
      </w:r>
      <w:r>
        <w:rPr>
          <w:rFonts w:hint="eastAsia" w:ascii="华文楷体" w:hAnsi="华文楷体" w:eastAsia="华文楷体" w:cs="华文楷体"/>
          <w:sz w:val="24"/>
          <w:u w:val="single"/>
        </w:rPr>
        <w:t xml:space="preserve">          </w:t>
      </w:r>
      <w:r>
        <w:rPr>
          <w:rFonts w:hint="eastAsia" w:ascii="华文楷体" w:hAnsi="华文楷体" w:eastAsia="华文楷体" w:cs="华文楷体"/>
          <w:sz w:val="24"/>
        </w:rPr>
        <w:t>，全称为</w:t>
      </w:r>
      <w:r>
        <w:rPr>
          <w:rFonts w:hint="eastAsia" w:ascii="华文楷体" w:hAnsi="华文楷体" w:eastAsia="华文楷体" w:cs="华文楷体"/>
          <w:sz w:val="24"/>
          <w:u w:val="single"/>
        </w:rPr>
        <w:t xml:space="preserve">             </w:t>
      </w:r>
      <w:r>
        <w:rPr>
          <w:rFonts w:hint="eastAsia" w:ascii="华文楷体" w:hAnsi="华文楷体" w:eastAsia="华文楷体" w:cs="华文楷体"/>
          <w:sz w:val="24"/>
        </w:rPr>
        <w:t>，统一社会信用代码为</w:t>
      </w:r>
      <w:r>
        <w:rPr>
          <w:rFonts w:hint="eastAsia" w:ascii="华文楷体" w:hAnsi="华文楷体" w:eastAsia="华文楷体" w:cs="华文楷体"/>
          <w:sz w:val="24"/>
          <w:u w:val="single"/>
        </w:rPr>
        <w:t xml:space="preserve">             </w:t>
      </w:r>
      <w:r>
        <w:rPr>
          <w:rFonts w:hint="eastAsia" w:ascii="华文楷体" w:hAnsi="华文楷体" w:eastAsia="华文楷体" w:cs="华文楷体"/>
          <w:sz w:val="24"/>
        </w:rPr>
        <w:t>，法定代表人为</w:t>
      </w:r>
      <w:r>
        <w:rPr>
          <w:rFonts w:hint="eastAsia" w:ascii="华文楷体" w:hAnsi="华文楷体" w:eastAsia="华文楷体" w:cs="华文楷体"/>
          <w:sz w:val="24"/>
          <w:u w:val="single"/>
        </w:rPr>
        <w:t xml:space="preserve">            </w:t>
      </w:r>
      <w:r>
        <w:rPr>
          <w:rFonts w:hint="eastAsia" w:ascii="华文楷体" w:hAnsi="华文楷体" w:eastAsia="华文楷体" w:cs="华文楷体"/>
          <w:sz w:val="24"/>
        </w:rPr>
        <w:t>，具有独立承担民事责任的能力。</w:t>
      </w:r>
    </w:p>
    <w:p w14:paraId="0DE3894E">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二、我单位具有良好的商业信誉和健全的财务会计制度。</w:t>
      </w:r>
    </w:p>
    <w:p w14:paraId="2C626185">
      <w:pPr>
        <w:adjustRightInd w:val="0"/>
        <w:snapToGrid w:val="0"/>
        <w:spacing w:before="156" w:beforeLines="50" w:line="360" w:lineRule="auto"/>
        <w:ind w:firstLine="480" w:firstLineChars="200"/>
        <w:jc w:val="left"/>
        <w:rPr>
          <w:rFonts w:hint="eastAsia" w:ascii="华文楷体" w:hAnsi="华文楷体" w:eastAsia="华文楷体" w:cs="华文楷体"/>
          <w:kern w:val="0"/>
          <w:sz w:val="24"/>
        </w:rPr>
      </w:pPr>
      <w:r>
        <w:rPr>
          <w:rFonts w:hint="eastAsia" w:ascii="华文楷体" w:hAnsi="华文楷体" w:eastAsia="华文楷体" w:cs="华文楷体"/>
          <w:kern w:val="0"/>
          <w:sz w:val="24"/>
        </w:rPr>
        <w:t>三、我</w:t>
      </w:r>
      <w:r>
        <w:rPr>
          <w:rFonts w:hint="eastAsia" w:ascii="华文楷体" w:hAnsi="华文楷体" w:eastAsia="华文楷体" w:cs="华文楷体"/>
          <w:sz w:val="24"/>
        </w:rPr>
        <w:t>单位</w:t>
      </w:r>
      <w:r>
        <w:rPr>
          <w:rFonts w:hint="eastAsia" w:ascii="华文楷体" w:hAnsi="华文楷体" w:eastAsia="华文楷体" w:cs="华文楷体"/>
          <w:kern w:val="0"/>
          <w:sz w:val="24"/>
        </w:rPr>
        <w:t>依法进行纳税和社会保险申报并实际履行了义务。</w:t>
      </w:r>
    </w:p>
    <w:p w14:paraId="5E868557">
      <w:pPr>
        <w:adjustRightInd w:val="0"/>
        <w:snapToGrid w:val="0"/>
        <w:spacing w:before="156" w:beforeLines="50" w:line="360" w:lineRule="auto"/>
        <w:ind w:firstLine="480" w:firstLineChars="200"/>
        <w:jc w:val="left"/>
        <w:rPr>
          <w:rFonts w:hint="eastAsia" w:ascii="华文楷体" w:hAnsi="华文楷体" w:eastAsia="华文楷体" w:cs="华文楷体"/>
          <w:kern w:val="0"/>
          <w:sz w:val="24"/>
        </w:rPr>
      </w:pPr>
      <w:r>
        <w:rPr>
          <w:rFonts w:hint="eastAsia" w:ascii="华文楷体" w:hAnsi="华文楷体" w:eastAsia="华文楷体" w:cs="华文楷体"/>
          <w:kern w:val="0"/>
          <w:sz w:val="24"/>
        </w:rPr>
        <w:t>四、</w:t>
      </w:r>
      <w:r>
        <w:rPr>
          <w:rFonts w:hint="eastAsia" w:ascii="华文楷体" w:hAnsi="华文楷体" w:eastAsia="华文楷体" w:cs="华文楷体"/>
          <w:sz w:val="24"/>
        </w:rPr>
        <w:t>我单位具有履行本项目采购合同所必需的设备和专业技术能力。</w:t>
      </w:r>
    </w:p>
    <w:p w14:paraId="2BC4F647">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五、我单位在参加采购项目政府采购活动前三年内，在经营活动中，未因违法经营受到刑事处罚或者责令停产停业、吊销许可证或者执照、较大数额罚款等行政处罚。其中较大数额罚款标准以罚款当地规定为准，法律法规另有规定的，从其规定。</w:t>
      </w:r>
    </w:p>
    <w:p w14:paraId="5BFB900E">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六、我单位未因违法经营被政府采购监管部门禁止参加政府采购活动（禁止期限已经届满的除外）。</w:t>
      </w:r>
    </w:p>
    <w:p w14:paraId="049A75A8">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七、我单位具备法律、行政法规规定的其他条件。</w:t>
      </w:r>
    </w:p>
    <w:p w14:paraId="6C1838E6">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kern w:val="0"/>
          <w:sz w:val="24"/>
        </w:rPr>
        <w:t>八、</w:t>
      </w:r>
      <w:r>
        <w:rPr>
          <w:rFonts w:hint="eastAsia" w:ascii="华文楷体" w:hAnsi="华文楷体" w:eastAsia="华文楷体" w:cs="华文楷体"/>
          <w:sz w:val="24"/>
        </w:rPr>
        <w:t>与我单位存在“单位负责人为同一人或者存在直接控股、管理关系”的其他法人单位信息如下（如无，填写“无”）：</w:t>
      </w:r>
    </w:p>
    <w:p w14:paraId="642AD78B">
      <w:pPr>
        <w:adjustRightInd w:val="0"/>
        <w:snapToGrid w:val="0"/>
        <w:spacing w:before="156" w:beforeLines="50" w:line="360" w:lineRule="auto"/>
        <w:rPr>
          <w:rFonts w:hint="eastAsia" w:ascii="华文楷体" w:hAnsi="华文楷体" w:eastAsia="华文楷体" w:cs="华文楷体"/>
          <w:sz w:val="24"/>
        </w:rPr>
      </w:pPr>
      <w:r>
        <w:rPr>
          <w:rFonts w:hint="eastAsia" w:ascii="华文楷体" w:hAnsi="华文楷体" w:eastAsia="华文楷体" w:cs="华文楷体"/>
          <w:sz w:val="24"/>
        </w:rPr>
        <w:t>1、与我单位的法定代表人（单位负责人）为同一人的其他法人单位如下：</w:t>
      </w:r>
      <w:r>
        <w:rPr>
          <w:rFonts w:hint="eastAsia" w:ascii="华文楷体" w:hAnsi="华文楷体" w:eastAsia="华文楷体" w:cs="华文楷体"/>
          <w:sz w:val="24"/>
          <w:u w:val="single"/>
        </w:rPr>
        <w:t xml:space="preserve">        </w:t>
      </w:r>
    </w:p>
    <w:p w14:paraId="32EC8B15">
      <w:pPr>
        <w:adjustRightInd w:val="0"/>
        <w:snapToGrid w:val="0"/>
        <w:spacing w:before="156" w:beforeLines="50" w:line="360" w:lineRule="auto"/>
        <w:rPr>
          <w:rFonts w:hint="eastAsia" w:ascii="华文楷体" w:hAnsi="华文楷体" w:eastAsia="华文楷体" w:cs="华文楷体"/>
          <w:sz w:val="24"/>
        </w:rPr>
      </w:pPr>
      <w:r>
        <w:rPr>
          <w:rFonts w:hint="eastAsia" w:ascii="华文楷体" w:hAnsi="华文楷体" w:eastAsia="华文楷体" w:cs="华文楷体"/>
          <w:sz w:val="24"/>
        </w:rPr>
        <w:t>2、我单位直接控股的其他法人单位如下：</w:t>
      </w:r>
      <w:r>
        <w:rPr>
          <w:rFonts w:hint="eastAsia" w:ascii="华文楷体" w:hAnsi="华文楷体" w:eastAsia="华文楷体" w:cs="华文楷体"/>
          <w:sz w:val="24"/>
          <w:u w:val="single"/>
        </w:rPr>
        <w:t xml:space="preserve">           </w:t>
      </w:r>
    </w:p>
    <w:p w14:paraId="4A50C4D4">
      <w:pPr>
        <w:adjustRightInd w:val="0"/>
        <w:snapToGrid w:val="0"/>
        <w:spacing w:before="156" w:beforeLines="50" w:line="360" w:lineRule="auto"/>
        <w:rPr>
          <w:rFonts w:hint="eastAsia" w:ascii="华文楷体" w:hAnsi="华文楷体" w:eastAsia="华文楷体" w:cs="华文楷体"/>
          <w:sz w:val="24"/>
        </w:rPr>
      </w:pPr>
      <w:r>
        <w:rPr>
          <w:rFonts w:hint="eastAsia" w:ascii="华文楷体" w:hAnsi="华文楷体" w:eastAsia="华文楷体" w:cs="华文楷体"/>
          <w:sz w:val="24"/>
        </w:rPr>
        <w:t>3、与我单位存在管理关系的其他法人单位如下：</w:t>
      </w:r>
      <w:r>
        <w:rPr>
          <w:rFonts w:hint="eastAsia" w:ascii="华文楷体" w:hAnsi="华文楷体" w:eastAsia="华文楷体" w:cs="华文楷体"/>
          <w:sz w:val="24"/>
          <w:u w:val="single"/>
        </w:rPr>
        <w:t xml:space="preserve">          </w:t>
      </w:r>
    </w:p>
    <w:p w14:paraId="6369B993">
      <w:pPr>
        <w:adjustRightInd w:val="0"/>
        <w:snapToGrid w:val="0"/>
        <w:spacing w:before="156" w:beforeLines="50" w:line="360" w:lineRule="auto"/>
        <w:ind w:firstLine="480" w:firstLineChars="200"/>
        <w:jc w:val="left"/>
        <w:rPr>
          <w:rFonts w:hint="eastAsia" w:ascii="华文楷体" w:hAnsi="华文楷体" w:eastAsia="华文楷体" w:cs="华文楷体"/>
          <w:kern w:val="0"/>
          <w:sz w:val="24"/>
        </w:rPr>
      </w:pPr>
      <w:r>
        <w:rPr>
          <w:rFonts w:hint="eastAsia" w:ascii="华文楷体" w:hAnsi="华文楷体" w:eastAsia="华文楷体" w:cs="华文楷体"/>
          <w:sz w:val="24"/>
        </w:rPr>
        <w:t>九、我单位不属于为本项目提供整体设计、规范编制或者项目管理、监理、检测等服务的供应商。</w:t>
      </w:r>
    </w:p>
    <w:p w14:paraId="4AE32694">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十、我单位无以下不良信用记录情形：</w:t>
      </w:r>
    </w:p>
    <w:p w14:paraId="79F8CAC1">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1、在“信用中国”网站被列入失信被执行人和重大税收违法案件当事人名单；</w:t>
      </w:r>
    </w:p>
    <w:p w14:paraId="4E4D073D">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2、在“中国政府采购网”网站被列入政府采购严重违法失信行为记录名单；</w:t>
      </w:r>
    </w:p>
    <w:p w14:paraId="4726BB1A">
      <w:pPr>
        <w:adjustRightInd w:val="0"/>
        <w:snapToGrid w:val="0"/>
        <w:spacing w:before="156" w:beforeLines="50" w:line="360" w:lineRule="auto"/>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3、不符合</w:t>
      </w:r>
      <w:r>
        <w:rPr>
          <w:rFonts w:hint="eastAsia" w:ascii="华文楷体" w:hAnsi="华文楷体" w:eastAsia="华文楷体" w:cs="华文楷体"/>
          <w:sz w:val="24"/>
          <w:highlight w:val="none"/>
        </w:rPr>
        <w:t>《中华人民共和国政府采购法》</w:t>
      </w:r>
      <w:r>
        <w:rPr>
          <w:rFonts w:hint="eastAsia" w:ascii="华文楷体" w:hAnsi="华文楷体" w:eastAsia="华文楷体" w:cs="华文楷体"/>
          <w:sz w:val="24"/>
        </w:rPr>
        <w:t>第二十二条规定的条件。</w:t>
      </w:r>
    </w:p>
    <w:p w14:paraId="42EB73EA">
      <w:pPr>
        <w:adjustRightInd w:val="0"/>
        <w:snapToGrid w:val="0"/>
        <w:spacing w:before="156" w:beforeLines="50" w:line="360" w:lineRule="auto"/>
        <w:ind w:firstLine="480" w:firstLineChars="200"/>
        <w:jc w:val="left"/>
        <w:rPr>
          <w:rFonts w:hint="eastAsia" w:ascii="华文楷体" w:hAnsi="华文楷体" w:eastAsia="华文楷体" w:cs="华文楷体"/>
          <w:kern w:val="0"/>
          <w:sz w:val="24"/>
        </w:rPr>
      </w:pPr>
      <w:r>
        <w:rPr>
          <w:rFonts w:hint="eastAsia" w:ascii="华文楷体" w:hAnsi="华文楷体" w:eastAsia="华文楷体" w:cs="华文楷体"/>
          <w:sz w:val="24"/>
        </w:rPr>
        <w:t>我单位保证上述声明的事项都是真实的，如有虚假，我单位愿意承担相应的法律责任，并承担因此所造成的一切损失。</w:t>
      </w:r>
    </w:p>
    <w:p w14:paraId="6E5EC1B9">
      <w:pPr>
        <w:adjustRightInd w:val="0"/>
        <w:snapToGrid w:val="0"/>
        <w:spacing w:before="156" w:beforeLines="50" w:line="360" w:lineRule="auto"/>
        <w:ind w:firstLine="480" w:firstLineChars="200"/>
        <w:jc w:val="left"/>
        <w:rPr>
          <w:rFonts w:hint="eastAsia" w:ascii="华文楷体" w:hAnsi="华文楷体" w:eastAsia="华文楷体" w:cs="华文楷体"/>
          <w:kern w:val="0"/>
          <w:sz w:val="24"/>
        </w:rPr>
      </w:pPr>
      <w:r>
        <w:rPr>
          <w:rFonts w:hint="eastAsia" w:ascii="华文楷体" w:hAnsi="华文楷体" w:eastAsia="华文楷体" w:cs="华文楷体"/>
          <w:sz w:val="24"/>
        </w:rPr>
        <w:t>我单位保证随时按照要求提供能够证明上述声明事项真实性的任何有效文件。</w:t>
      </w:r>
    </w:p>
    <w:p w14:paraId="74E41D13">
      <w:pPr>
        <w:adjustRightInd w:val="0"/>
        <w:snapToGrid w:val="0"/>
        <w:spacing w:before="156" w:beforeLines="50" w:line="360" w:lineRule="auto"/>
        <w:jc w:val="left"/>
        <w:rPr>
          <w:rFonts w:hint="eastAsia" w:ascii="华文楷体" w:hAnsi="华文楷体" w:eastAsia="华文楷体" w:cs="华文楷体"/>
          <w:sz w:val="24"/>
        </w:rPr>
      </w:pPr>
    </w:p>
    <w:p w14:paraId="38FD1B78">
      <w:pPr>
        <w:adjustRightInd w:val="0"/>
        <w:snapToGrid w:val="0"/>
        <w:spacing w:before="156" w:beforeLines="50" w:line="360" w:lineRule="auto"/>
        <w:jc w:val="left"/>
        <w:rPr>
          <w:rFonts w:hint="eastAsia" w:ascii="华文楷体" w:hAnsi="华文楷体" w:eastAsia="华文楷体" w:cs="华文楷体"/>
          <w:sz w:val="24"/>
        </w:rPr>
      </w:pPr>
    </w:p>
    <w:p w14:paraId="434C14DE">
      <w:pPr>
        <w:pStyle w:val="16"/>
        <w:adjustRightInd w:val="0"/>
        <w:snapToGrid w:val="0"/>
        <w:spacing w:before="156" w:beforeLines="50" w:line="360" w:lineRule="auto"/>
        <w:rPr>
          <w:rFonts w:hint="eastAsia" w:ascii="华文楷体" w:hAnsi="华文楷体" w:eastAsia="华文楷体" w:cs="华文楷体"/>
          <w:sz w:val="24"/>
          <w:u w:val="single"/>
        </w:rPr>
      </w:pPr>
      <w:r>
        <w:rPr>
          <w:rFonts w:hint="eastAsia" w:ascii="华文楷体" w:hAnsi="华文楷体" w:eastAsia="华文楷体" w:cs="华文楷体"/>
          <w:sz w:val="24"/>
        </w:rPr>
        <w:t xml:space="preserve">供应商名称(盖单位公章)： </w:t>
      </w:r>
      <w:r>
        <w:rPr>
          <w:rFonts w:hint="eastAsia" w:ascii="华文楷体" w:hAnsi="华文楷体" w:eastAsia="华文楷体" w:cs="华文楷体"/>
          <w:sz w:val="24"/>
          <w:u w:val="single"/>
        </w:rPr>
        <w:t xml:space="preserve">                          </w:t>
      </w:r>
    </w:p>
    <w:p w14:paraId="6AB7C4A1">
      <w:pPr>
        <w:adjustRightInd w:val="0"/>
        <w:snapToGrid w:val="0"/>
        <w:spacing w:before="156" w:beforeLines="50" w:line="360" w:lineRule="auto"/>
        <w:jc w:val="left"/>
        <w:rPr>
          <w:rFonts w:hint="eastAsia" w:ascii="华文楷体" w:hAnsi="华文楷体" w:eastAsia="华文楷体" w:cs="华文楷体"/>
          <w:b/>
          <w:bCs/>
          <w:kern w:val="0"/>
          <w:sz w:val="24"/>
          <w:u w:val="single"/>
        </w:rPr>
      </w:pPr>
      <w:r>
        <w:rPr>
          <w:rFonts w:hint="eastAsia" w:ascii="华文楷体" w:hAnsi="华文楷体" w:eastAsia="华文楷体" w:cs="华文楷体"/>
          <w:spacing w:val="-2"/>
          <w:kern w:val="0"/>
          <w:sz w:val="24"/>
        </w:rPr>
        <w:t>法</w:t>
      </w:r>
      <w:r>
        <w:rPr>
          <w:rFonts w:hint="eastAsia" w:ascii="华文楷体" w:hAnsi="华文楷体" w:eastAsia="华文楷体" w:cs="华文楷体"/>
          <w:kern w:val="0"/>
          <w:sz w:val="24"/>
        </w:rPr>
        <w:t>定</w:t>
      </w:r>
      <w:r>
        <w:rPr>
          <w:rFonts w:hint="eastAsia" w:ascii="华文楷体" w:hAnsi="华文楷体" w:eastAsia="华文楷体" w:cs="华文楷体"/>
          <w:spacing w:val="-2"/>
          <w:kern w:val="0"/>
          <w:sz w:val="24"/>
        </w:rPr>
        <w:t>代</w:t>
      </w:r>
      <w:r>
        <w:rPr>
          <w:rFonts w:hint="eastAsia" w:ascii="华文楷体" w:hAnsi="华文楷体" w:eastAsia="华文楷体" w:cs="华文楷体"/>
          <w:kern w:val="0"/>
          <w:sz w:val="24"/>
        </w:rPr>
        <w:t>表</w:t>
      </w:r>
      <w:r>
        <w:rPr>
          <w:rFonts w:hint="eastAsia" w:ascii="华文楷体" w:hAnsi="华文楷体" w:eastAsia="华文楷体" w:cs="华文楷体"/>
          <w:spacing w:val="-2"/>
          <w:kern w:val="0"/>
          <w:sz w:val="24"/>
        </w:rPr>
        <w:t>人</w:t>
      </w:r>
      <w:r>
        <w:rPr>
          <w:rFonts w:hint="eastAsia" w:ascii="华文楷体" w:hAnsi="华文楷体" w:eastAsia="华文楷体" w:cs="华文楷体"/>
          <w:kern w:val="0"/>
          <w:sz w:val="24"/>
        </w:rPr>
        <w:t>（</w:t>
      </w:r>
      <w:r>
        <w:rPr>
          <w:rFonts w:hint="eastAsia" w:ascii="华文楷体" w:hAnsi="华文楷体" w:eastAsia="华文楷体" w:cs="华文楷体"/>
          <w:spacing w:val="-2"/>
          <w:kern w:val="0"/>
          <w:sz w:val="24"/>
        </w:rPr>
        <w:t>单</w:t>
      </w:r>
      <w:r>
        <w:rPr>
          <w:rFonts w:hint="eastAsia" w:ascii="华文楷体" w:hAnsi="华文楷体" w:eastAsia="华文楷体" w:cs="华文楷体"/>
          <w:kern w:val="0"/>
          <w:sz w:val="24"/>
        </w:rPr>
        <w:t>位</w:t>
      </w:r>
      <w:r>
        <w:rPr>
          <w:rFonts w:hint="eastAsia" w:ascii="华文楷体" w:hAnsi="华文楷体" w:eastAsia="华文楷体" w:cs="华文楷体"/>
          <w:spacing w:val="-2"/>
          <w:kern w:val="0"/>
          <w:sz w:val="24"/>
        </w:rPr>
        <w:t>负</w:t>
      </w:r>
      <w:r>
        <w:rPr>
          <w:rFonts w:hint="eastAsia" w:ascii="华文楷体" w:hAnsi="华文楷体" w:eastAsia="华文楷体" w:cs="华文楷体"/>
          <w:kern w:val="0"/>
          <w:sz w:val="24"/>
        </w:rPr>
        <w:t>责人</w:t>
      </w:r>
      <w:r>
        <w:rPr>
          <w:rFonts w:hint="eastAsia" w:ascii="华文楷体" w:hAnsi="华文楷体" w:eastAsia="华文楷体" w:cs="华文楷体"/>
          <w:spacing w:val="-2"/>
          <w:kern w:val="0"/>
          <w:sz w:val="24"/>
        </w:rPr>
        <w:t>）</w:t>
      </w:r>
      <w:r>
        <w:rPr>
          <w:rFonts w:hint="eastAsia" w:ascii="华文楷体" w:hAnsi="华文楷体" w:eastAsia="华文楷体" w:cs="华文楷体"/>
          <w:sz w:val="24"/>
        </w:rPr>
        <w:t>或其委托代理人（签字或印章）：</w:t>
      </w:r>
      <w:r>
        <w:rPr>
          <w:rFonts w:hint="eastAsia" w:ascii="华文楷体" w:hAnsi="华文楷体" w:eastAsia="华文楷体" w:cs="华文楷体"/>
          <w:sz w:val="24"/>
          <w:u w:val="single"/>
        </w:rPr>
        <w:t xml:space="preserve">                </w:t>
      </w:r>
    </w:p>
    <w:p w14:paraId="3F26DA92">
      <w:pPr>
        <w:adjustRightInd w:val="0"/>
        <w:snapToGrid w:val="0"/>
        <w:spacing w:before="156" w:beforeLines="50" w:line="360" w:lineRule="auto"/>
        <w:jc w:val="left"/>
        <w:rPr>
          <w:rFonts w:hint="eastAsia" w:ascii="华文楷体" w:hAnsi="华文楷体" w:eastAsia="华文楷体" w:cs="华文楷体"/>
          <w:sz w:val="24"/>
        </w:rPr>
      </w:pPr>
      <w:r>
        <w:rPr>
          <w:rFonts w:hint="eastAsia" w:ascii="华文楷体" w:hAnsi="华文楷体" w:eastAsia="华文楷体" w:cs="华文楷体"/>
          <w:sz w:val="24"/>
        </w:rPr>
        <w:t>日期：</w:t>
      </w:r>
      <w:r>
        <w:rPr>
          <w:rFonts w:hint="eastAsia" w:ascii="华文楷体" w:hAnsi="华文楷体" w:eastAsia="华文楷体" w:cs="华文楷体"/>
          <w:sz w:val="24"/>
          <w:u w:val="single"/>
        </w:rPr>
        <w:t xml:space="preserve">      </w:t>
      </w:r>
      <w:r>
        <w:rPr>
          <w:rFonts w:hint="eastAsia" w:ascii="华文楷体" w:hAnsi="华文楷体" w:eastAsia="华文楷体" w:cs="华文楷体"/>
          <w:sz w:val="24"/>
        </w:rPr>
        <w:t>年</w:t>
      </w:r>
      <w:r>
        <w:rPr>
          <w:rFonts w:hint="eastAsia" w:ascii="华文楷体" w:hAnsi="华文楷体" w:eastAsia="华文楷体" w:cs="华文楷体"/>
          <w:sz w:val="24"/>
          <w:u w:val="single"/>
        </w:rPr>
        <w:t xml:space="preserve">    </w:t>
      </w:r>
      <w:r>
        <w:rPr>
          <w:rFonts w:hint="eastAsia" w:ascii="华文楷体" w:hAnsi="华文楷体" w:eastAsia="华文楷体" w:cs="华文楷体"/>
          <w:sz w:val="24"/>
        </w:rPr>
        <w:t>月</w:t>
      </w:r>
      <w:r>
        <w:rPr>
          <w:rFonts w:hint="eastAsia" w:ascii="华文楷体" w:hAnsi="华文楷体" w:eastAsia="华文楷体" w:cs="华文楷体"/>
          <w:sz w:val="24"/>
          <w:u w:val="single"/>
        </w:rPr>
        <w:t xml:space="preserve">    </w:t>
      </w:r>
      <w:r>
        <w:rPr>
          <w:rFonts w:hint="eastAsia" w:ascii="华文楷体" w:hAnsi="华文楷体" w:eastAsia="华文楷体" w:cs="华文楷体"/>
          <w:sz w:val="24"/>
        </w:rPr>
        <w:t>日</w:t>
      </w:r>
    </w:p>
    <w:p w14:paraId="39DDAB8A">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38DAA276">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346B2DEE">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0F3B30B2">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135FA873">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0FA7B96E">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7EECC054">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0EFDC285">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14461A31">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p w14:paraId="0FECF133">
      <w:pPr>
        <w:pStyle w:val="16"/>
        <w:adjustRightInd w:val="0"/>
        <w:snapToGrid w:val="0"/>
        <w:spacing w:line="360" w:lineRule="auto"/>
        <w:jc w:val="center"/>
        <w:outlineLvl w:val="1"/>
        <w:rPr>
          <w:rFonts w:hint="eastAsia" w:ascii="仿宋" w:hAnsi="仿宋" w:eastAsia="仿宋" w:cs="仿宋"/>
          <w:b/>
          <w:color w:val="auto"/>
          <w:szCs w:val="32"/>
          <w:highlight w:val="none"/>
          <w:lang w:val="en-US" w:eastAsia="zh-CN"/>
        </w:rPr>
      </w:pPr>
    </w:p>
    <w:bookmarkEnd w:id="197"/>
    <w:bookmarkEnd w:id="198"/>
    <w:p w14:paraId="63B81D71">
      <w:pPr>
        <w:pStyle w:val="16"/>
        <w:numPr>
          <w:ilvl w:val="0"/>
          <w:numId w:val="7"/>
        </w:numPr>
        <w:adjustRightInd w:val="0"/>
        <w:snapToGrid w:val="0"/>
        <w:spacing w:line="360" w:lineRule="auto"/>
        <w:jc w:val="center"/>
        <w:outlineLvl w:val="1"/>
        <w:rPr>
          <w:rFonts w:hint="eastAsia" w:ascii="仿宋" w:hAnsi="仿宋" w:eastAsia="仿宋" w:cs="仿宋"/>
          <w:b/>
          <w:color w:val="auto"/>
          <w:szCs w:val="32"/>
          <w:highlight w:val="none"/>
          <w:lang w:val="en-US" w:eastAsia="zh-CN"/>
        </w:rPr>
      </w:pPr>
      <w:r>
        <w:rPr>
          <w:rFonts w:hint="eastAsia" w:ascii="仿宋" w:hAnsi="仿宋" w:eastAsia="仿宋" w:cs="仿宋"/>
          <w:b/>
          <w:color w:val="auto"/>
          <w:szCs w:val="32"/>
          <w:highlight w:val="none"/>
          <w:lang w:val="en-US" w:eastAsia="zh-CN"/>
        </w:rPr>
        <w:t>技术部分</w:t>
      </w:r>
    </w:p>
    <w:p w14:paraId="466C3908">
      <w:pPr>
        <w:keepNext w:val="0"/>
        <w:keepLines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仿宋"/>
          <w:b/>
          <w:bCs/>
          <w:color w:val="auto"/>
          <w:kern w:val="0"/>
          <w:sz w:val="28"/>
          <w:szCs w:val="28"/>
          <w:highlight w:val="none"/>
        </w:rPr>
      </w:pPr>
      <w:r>
        <w:rPr>
          <w:rFonts w:hint="eastAsia"/>
          <w:lang w:eastAsia="zh-CN"/>
        </w:rPr>
        <w:t>（供应商根据评审因素和标准内容自行编写）</w:t>
      </w:r>
    </w:p>
    <w:p w14:paraId="79732C71">
      <w:pPr>
        <w:pStyle w:val="6"/>
        <w:numPr>
          <w:ilvl w:val="0"/>
          <w:numId w:val="0"/>
        </w:numPr>
        <w:rPr>
          <w:rFonts w:hint="eastAsia"/>
          <w:lang w:eastAsia="zh-CN"/>
        </w:rPr>
      </w:pPr>
    </w:p>
    <w:p w14:paraId="1FEFF7A1">
      <w:pPr>
        <w:rPr>
          <w:rFonts w:hint="eastAsia" w:ascii="仿宋" w:hAnsi="仿宋" w:eastAsia="仿宋" w:cs="仿宋"/>
          <w:color w:val="auto"/>
          <w:lang w:val="en-US" w:eastAsia="zh-CN"/>
        </w:rPr>
      </w:pPr>
    </w:p>
    <w:p w14:paraId="05BB0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0"/>
        <w:jc w:val="center"/>
        <w:rPr>
          <w:rFonts w:hint="eastAsia" w:ascii="仿宋" w:hAnsi="仿宋" w:eastAsia="仿宋" w:cs="仿宋"/>
          <w:b/>
          <w:bCs/>
          <w:color w:val="auto"/>
          <w:sz w:val="21"/>
          <w:szCs w:val="21"/>
        </w:rPr>
      </w:pPr>
    </w:p>
    <w:p w14:paraId="67FF0A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71ABF9FD">
      <w:pPr>
        <w:numPr>
          <w:ilvl w:val="0"/>
          <w:numId w:val="0"/>
        </w:numPr>
        <w:adjustRightInd w:val="0"/>
        <w:snapToGrid w:val="0"/>
        <w:spacing w:line="360" w:lineRule="auto"/>
        <w:jc w:val="center"/>
        <w:outlineLvl w:val="1"/>
        <w:rPr>
          <w:rFonts w:hint="eastAsia" w:ascii="仿宋" w:hAnsi="仿宋" w:eastAsia="仿宋" w:cs="仿宋"/>
          <w:b/>
          <w:bCs/>
          <w:color w:val="auto"/>
          <w:sz w:val="32"/>
          <w:szCs w:val="32"/>
          <w:highlight w:val="none"/>
          <w:lang w:val="en-US" w:eastAsia="zh-CN"/>
        </w:rPr>
      </w:pPr>
      <w:bookmarkStart w:id="199" w:name="_Toc15127"/>
      <w:bookmarkStart w:id="200" w:name="_Toc31025"/>
      <w:r>
        <w:rPr>
          <w:rFonts w:hint="eastAsia" w:ascii="仿宋" w:hAnsi="仿宋" w:eastAsia="仿宋" w:cs="仿宋"/>
          <w:b/>
          <w:bCs/>
          <w:color w:val="auto"/>
          <w:sz w:val="32"/>
          <w:szCs w:val="32"/>
          <w:highlight w:val="none"/>
          <w:lang w:val="en-US" w:eastAsia="zh-CN"/>
        </w:rPr>
        <w:t>六、技术或商务响应偏离表</w:t>
      </w:r>
      <w:bookmarkEnd w:id="199"/>
      <w:bookmarkEnd w:id="200"/>
    </w:p>
    <w:p w14:paraId="42E256B2">
      <w:pPr>
        <w:rPr>
          <w:rFonts w:hint="eastAsia" w:ascii="仿宋" w:hAnsi="仿宋" w:eastAsia="仿宋" w:cs="仿宋"/>
          <w:color w:val="auto"/>
          <w:highlight w:val="none"/>
        </w:rPr>
      </w:pPr>
    </w:p>
    <w:p w14:paraId="1553822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项目名称：</w:t>
      </w:r>
    </w:p>
    <w:tbl>
      <w:tblPr>
        <w:tblStyle w:val="26"/>
        <w:tblW w:w="926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769"/>
        <w:gridCol w:w="1820"/>
        <w:gridCol w:w="1850"/>
        <w:gridCol w:w="1251"/>
        <w:gridCol w:w="816"/>
      </w:tblGrid>
      <w:tr w14:paraId="2D75E6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9266" w:type="dxa"/>
            <w:gridSpan w:val="6"/>
            <w:tcBorders>
              <w:tl2br w:val="nil"/>
              <w:tr2bl w:val="nil"/>
            </w:tcBorders>
            <w:noWrap w:val="0"/>
            <w:vAlign w:val="center"/>
          </w:tcPr>
          <w:p w14:paraId="2309205F">
            <w:pPr>
              <w:adjustRightInd w:val="0"/>
              <w:snapToGrid w:val="0"/>
              <w:spacing w:line="360" w:lineRule="auto"/>
              <w:jc w:val="left"/>
              <w:rPr>
                <w:rFonts w:hint="eastAsia" w:ascii="仿宋" w:hAnsi="仿宋" w:eastAsia="仿宋" w:cs="仿宋"/>
                <w:b/>
                <w:color w:val="auto"/>
                <w:sz w:val="21"/>
                <w:szCs w:val="21"/>
              </w:rPr>
            </w:pPr>
            <w:r>
              <w:rPr>
                <w:rFonts w:hint="eastAsia" w:ascii="仿宋" w:hAnsi="仿宋" w:eastAsia="仿宋" w:cs="仿宋"/>
                <w:b/>
                <w:color w:val="auto"/>
                <w:sz w:val="21"/>
                <w:szCs w:val="21"/>
              </w:rPr>
              <w:t>对本项目</w:t>
            </w:r>
            <w:r>
              <w:rPr>
                <w:rFonts w:hint="eastAsia" w:ascii="仿宋" w:hAnsi="仿宋" w:eastAsia="仿宋" w:cs="仿宋"/>
                <w:b/>
                <w:color w:val="auto"/>
                <w:sz w:val="21"/>
                <w:szCs w:val="21"/>
                <w:lang w:val="en-US" w:eastAsia="zh-CN"/>
              </w:rPr>
              <w:t>技术/商务</w:t>
            </w:r>
            <w:r>
              <w:rPr>
                <w:rFonts w:hint="eastAsia" w:ascii="仿宋" w:hAnsi="仿宋" w:eastAsia="仿宋" w:cs="仿宋"/>
                <w:b/>
                <w:color w:val="auto"/>
                <w:sz w:val="21"/>
                <w:szCs w:val="21"/>
              </w:rPr>
              <w:t>条款的偏离情况（请进行勾选</w:t>
            </w:r>
            <w:r>
              <w:rPr>
                <w:rFonts w:hint="eastAsia" w:ascii="仿宋" w:hAnsi="仿宋" w:eastAsia="仿宋" w:cs="仿宋"/>
                <w:b/>
                <w:color w:val="auto"/>
                <w:sz w:val="21"/>
                <w:szCs w:val="21"/>
                <w:lang w:val="en-US" w:eastAsia="zh-CN"/>
              </w:rPr>
              <w:t>打</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rPr>
              <w:t>）：</w:t>
            </w:r>
          </w:p>
          <w:p w14:paraId="7D5E6BDD">
            <w:pPr>
              <w:adjustRightInd w:val="0"/>
              <w:snapToGrid w:val="0"/>
              <w:spacing w:line="360" w:lineRule="auto"/>
              <w:jc w:val="left"/>
              <w:rPr>
                <w:rFonts w:hint="eastAsia" w:ascii="仿宋" w:hAnsi="仿宋" w:eastAsia="仿宋" w:cs="仿宋"/>
                <w:b/>
                <w:color w:val="auto"/>
                <w:sz w:val="21"/>
                <w:szCs w:val="21"/>
              </w:rPr>
            </w:pPr>
            <w:r>
              <w:rPr>
                <w:rFonts w:hint="eastAsia" w:ascii="仿宋" w:hAnsi="仿宋" w:eastAsia="仿宋" w:cs="仿宋"/>
                <w:b/>
                <w:color w:val="auto"/>
                <w:sz w:val="21"/>
                <w:szCs w:val="21"/>
              </w:rPr>
              <w:sym w:font="Wingdings" w:char="00A8"/>
            </w:r>
            <w:r>
              <w:rPr>
                <w:rFonts w:hint="eastAsia" w:ascii="仿宋" w:hAnsi="仿宋" w:eastAsia="仿宋" w:cs="仿宋"/>
                <w:b/>
                <w:color w:val="auto"/>
                <w:sz w:val="21"/>
                <w:szCs w:val="21"/>
              </w:rPr>
              <w:t>无偏离</w:t>
            </w:r>
            <w:r>
              <w:rPr>
                <w:rFonts w:hint="eastAsia" w:ascii="仿宋" w:hAnsi="仿宋" w:eastAsia="仿宋" w:cs="仿宋"/>
                <w:color w:val="auto"/>
                <w:sz w:val="21"/>
                <w:szCs w:val="21"/>
              </w:rPr>
              <w:t>（如无偏离，仅勾选无偏离即可）</w:t>
            </w:r>
          </w:p>
          <w:p w14:paraId="0172DD2A">
            <w:pPr>
              <w:adjustRightInd w:val="0"/>
              <w:snapToGrid w:val="0"/>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sym w:font="Wingdings" w:char="00A8"/>
            </w:r>
            <w:r>
              <w:rPr>
                <w:rFonts w:hint="eastAsia" w:ascii="仿宋" w:hAnsi="仿宋" w:eastAsia="仿宋" w:cs="仿宋"/>
                <w:b/>
                <w:color w:val="auto"/>
                <w:sz w:val="21"/>
                <w:szCs w:val="21"/>
              </w:rPr>
              <w:t>有偏离</w:t>
            </w:r>
            <w:r>
              <w:rPr>
                <w:rFonts w:hint="eastAsia" w:ascii="仿宋" w:hAnsi="仿宋" w:eastAsia="仿宋" w:cs="仿宋"/>
                <w:color w:val="auto"/>
                <w:sz w:val="21"/>
                <w:szCs w:val="21"/>
              </w:rPr>
              <w:t>（如有偏离，则应在本表中对偏离项逐一列明）</w:t>
            </w:r>
            <w:r>
              <w:rPr>
                <w:rFonts w:hint="eastAsia" w:ascii="仿宋" w:hAnsi="仿宋" w:eastAsia="仿宋" w:cs="仿宋"/>
                <w:color w:val="auto"/>
                <w:sz w:val="21"/>
                <w:szCs w:val="21"/>
                <w:lang w:val="en-US" w:eastAsia="zh-CN"/>
              </w:rPr>
              <w:t xml:space="preserve"> </w:t>
            </w:r>
          </w:p>
        </w:tc>
      </w:tr>
      <w:tr w14:paraId="089B3E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l2br w:val="nil"/>
              <w:tr2bl w:val="nil"/>
            </w:tcBorders>
            <w:noWrap w:val="0"/>
            <w:vAlign w:val="center"/>
          </w:tcPr>
          <w:p w14:paraId="5F8A5A7E">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2769" w:type="dxa"/>
            <w:tcBorders>
              <w:tl2br w:val="nil"/>
              <w:tr2bl w:val="nil"/>
            </w:tcBorders>
            <w:noWrap w:val="0"/>
            <w:vAlign w:val="center"/>
          </w:tcPr>
          <w:p w14:paraId="04058C57">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采购文件章节条款号</w:t>
            </w:r>
          </w:p>
        </w:tc>
        <w:tc>
          <w:tcPr>
            <w:tcW w:w="1820" w:type="dxa"/>
            <w:tcBorders>
              <w:tl2br w:val="nil"/>
              <w:tr2bl w:val="nil"/>
            </w:tcBorders>
            <w:noWrap w:val="0"/>
            <w:vAlign w:val="center"/>
          </w:tcPr>
          <w:p w14:paraId="03E4F483">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采购文件</w:t>
            </w:r>
            <w:r>
              <w:rPr>
                <w:rFonts w:hint="eastAsia" w:ascii="仿宋" w:hAnsi="仿宋" w:eastAsia="仿宋" w:cs="仿宋"/>
                <w:color w:val="auto"/>
                <w:sz w:val="21"/>
                <w:szCs w:val="21"/>
              </w:rPr>
              <w:t>要求</w:t>
            </w:r>
          </w:p>
        </w:tc>
        <w:tc>
          <w:tcPr>
            <w:tcW w:w="1850" w:type="dxa"/>
            <w:tcBorders>
              <w:tl2br w:val="nil"/>
              <w:tr2bl w:val="nil"/>
            </w:tcBorders>
            <w:noWrap w:val="0"/>
            <w:vAlign w:val="center"/>
          </w:tcPr>
          <w:p w14:paraId="256E8C7F">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文件内容</w:t>
            </w:r>
          </w:p>
        </w:tc>
        <w:tc>
          <w:tcPr>
            <w:tcW w:w="1251" w:type="dxa"/>
            <w:tcBorders>
              <w:tl2br w:val="nil"/>
              <w:tr2bl w:val="nil"/>
            </w:tcBorders>
            <w:noWrap w:val="0"/>
            <w:vAlign w:val="center"/>
          </w:tcPr>
          <w:p w14:paraId="701DCE33">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偏离情况</w:t>
            </w:r>
          </w:p>
        </w:tc>
        <w:tc>
          <w:tcPr>
            <w:tcW w:w="816" w:type="dxa"/>
            <w:tcBorders>
              <w:tl2br w:val="nil"/>
              <w:tr2bl w:val="nil"/>
            </w:tcBorders>
            <w:noWrap w:val="0"/>
            <w:vAlign w:val="center"/>
          </w:tcPr>
          <w:p w14:paraId="4DCD33C5">
            <w:pPr>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说明</w:t>
            </w:r>
          </w:p>
        </w:tc>
      </w:tr>
      <w:tr w14:paraId="579379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l2br w:val="nil"/>
              <w:tr2bl w:val="nil"/>
            </w:tcBorders>
            <w:noWrap w:val="0"/>
            <w:vAlign w:val="center"/>
          </w:tcPr>
          <w:p w14:paraId="01EABF12">
            <w:pPr>
              <w:adjustRightInd w:val="0"/>
              <w:snapToGrid w:val="0"/>
              <w:jc w:val="center"/>
              <w:rPr>
                <w:rFonts w:hint="eastAsia" w:ascii="仿宋" w:hAnsi="仿宋" w:eastAsia="仿宋" w:cs="仿宋"/>
                <w:color w:val="auto"/>
                <w:sz w:val="21"/>
                <w:szCs w:val="21"/>
              </w:rPr>
            </w:pPr>
          </w:p>
        </w:tc>
        <w:tc>
          <w:tcPr>
            <w:tcW w:w="2769" w:type="dxa"/>
            <w:tcBorders>
              <w:tl2br w:val="nil"/>
              <w:tr2bl w:val="nil"/>
            </w:tcBorders>
            <w:noWrap w:val="0"/>
            <w:vAlign w:val="center"/>
          </w:tcPr>
          <w:p w14:paraId="6B922E4E">
            <w:pPr>
              <w:adjustRightInd w:val="0"/>
              <w:snapToGrid w:val="0"/>
              <w:jc w:val="center"/>
              <w:rPr>
                <w:rFonts w:hint="eastAsia" w:ascii="仿宋" w:hAnsi="仿宋" w:eastAsia="仿宋" w:cs="仿宋"/>
                <w:color w:val="auto"/>
                <w:sz w:val="21"/>
                <w:szCs w:val="21"/>
              </w:rPr>
            </w:pPr>
          </w:p>
        </w:tc>
        <w:tc>
          <w:tcPr>
            <w:tcW w:w="1820" w:type="dxa"/>
            <w:tcBorders>
              <w:tl2br w:val="nil"/>
              <w:tr2bl w:val="nil"/>
            </w:tcBorders>
            <w:noWrap w:val="0"/>
            <w:vAlign w:val="center"/>
          </w:tcPr>
          <w:p w14:paraId="716BE832">
            <w:pPr>
              <w:adjustRightInd w:val="0"/>
              <w:snapToGrid w:val="0"/>
              <w:jc w:val="center"/>
              <w:rPr>
                <w:rFonts w:hint="eastAsia" w:ascii="仿宋" w:hAnsi="仿宋" w:eastAsia="仿宋" w:cs="仿宋"/>
                <w:color w:val="auto"/>
                <w:sz w:val="21"/>
                <w:szCs w:val="21"/>
              </w:rPr>
            </w:pPr>
          </w:p>
        </w:tc>
        <w:tc>
          <w:tcPr>
            <w:tcW w:w="1850" w:type="dxa"/>
            <w:tcBorders>
              <w:tl2br w:val="nil"/>
              <w:tr2bl w:val="nil"/>
            </w:tcBorders>
            <w:noWrap w:val="0"/>
            <w:vAlign w:val="center"/>
          </w:tcPr>
          <w:p w14:paraId="13FE39B4">
            <w:pPr>
              <w:adjustRightInd w:val="0"/>
              <w:snapToGrid w:val="0"/>
              <w:jc w:val="center"/>
              <w:rPr>
                <w:rFonts w:hint="eastAsia" w:ascii="仿宋" w:hAnsi="仿宋" w:eastAsia="仿宋" w:cs="仿宋"/>
                <w:color w:val="auto"/>
                <w:sz w:val="21"/>
                <w:szCs w:val="21"/>
              </w:rPr>
            </w:pPr>
          </w:p>
        </w:tc>
        <w:tc>
          <w:tcPr>
            <w:tcW w:w="1251" w:type="dxa"/>
            <w:tcBorders>
              <w:tl2br w:val="nil"/>
              <w:tr2bl w:val="nil"/>
            </w:tcBorders>
            <w:noWrap w:val="0"/>
            <w:vAlign w:val="center"/>
          </w:tcPr>
          <w:p w14:paraId="3B1C9F29">
            <w:pPr>
              <w:adjustRightInd w:val="0"/>
              <w:snapToGrid w:val="0"/>
              <w:jc w:val="center"/>
              <w:rPr>
                <w:rFonts w:hint="eastAsia" w:ascii="仿宋" w:hAnsi="仿宋" w:eastAsia="仿宋" w:cs="仿宋"/>
                <w:color w:val="auto"/>
                <w:sz w:val="21"/>
                <w:szCs w:val="21"/>
              </w:rPr>
            </w:pPr>
          </w:p>
        </w:tc>
        <w:tc>
          <w:tcPr>
            <w:tcW w:w="816" w:type="dxa"/>
            <w:tcBorders>
              <w:tl2br w:val="nil"/>
              <w:tr2bl w:val="nil"/>
            </w:tcBorders>
            <w:noWrap w:val="0"/>
            <w:vAlign w:val="center"/>
          </w:tcPr>
          <w:p w14:paraId="2C0642B6">
            <w:pPr>
              <w:adjustRightInd w:val="0"/>
              <w:snapToGrid w:val="0"/>
              <w:jc w:val="center"/>
              <w:rPr>
                <w:rFonts w:hint="eastAsia" w:ascii="仿宋" w:hAnsi="仿宋" w:eastAsia="仿宋" w:cs="仿宋"/>
                <w:color w:val="auto"/>
                <w:sz w:val="21"/>
                <w:szCs w:val="21"/>
              </w:rPr>
            </w:pPr>
          </w:p>
        </w:tc>
      </w:tr>
      <w:tr w14:paraId="23DFD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l2br w:val="nil"/>
              <w:tr2bl w:val="nil"/>
            </w:tcBorders>
            <w:noWrap w:val="0"/>
            <w:vAlign w:val="center"/>
          </w:tcPr>
          <w:p w14:paraId="033CAFA2">
            <w:pPr>
              <w:adjustRightInd w:val="0"/>
              <w:snapToGrid w:val="0"/>
              <w:jc w:val="center"/>
              <w:rPr>
                <w:rFonts w:hint="eastAsia" w:ascii="仿宋" w:hAnsi="仿宋" w:eastAsia="仿宋" w:cs="仿宋"/>
                <w:color w:val="auto"/>
                <w:sz w:val="21"/>
                <w:szCs w:val="21"/>
              </w:rPr>
            </w:pPr>
          </w:p>
        </w:tc>
        <w:tc>
          <w:tcPr>
            <w:tcW w:w="2769" w:type="dxa"/>
            <w:tcBorders>
              <w:tl2br w:val="nil"/>
              <w:tr2bl w:val="nil"/>
            </w:tcBorders>
            <w:noWrap w:val="0"/>
            <w:vAlign w:val="center"/>
          </w:tcPr>
          <w:p w14:paraId="7C4A7645">
            <w:pPr>
              <w:adjustRightInd w:val="0"/>
              <w:snapToGrid w:val="0"/>
              <w:jc w:val="center"/>
              <w:rPr>
                <w:rFonts w:hint="eastAsia" w:ascii="仿宋" w:hAnsi="仿宋" w:eastAsia="仿宋" w:cs="仿宋"/>
                <w:color w:val="auto"/>
                <w:sz w:val="21"/>
                <w:szCs w:val="21"/>
              </w:rPr>
            </w:pPr>
          </w:p>
        </w:tc>
        <w:tc>
          <w:tcPr>
            <w:tcW w:w="1820" w:type="dxa"/>
            <w:tcBorders>
              <w:tl2br w:val="nil"/>
              <w:tr2bl w:val="nil"/>
            </w:tcBorders>
            <w:noWrap w:val="0"/>
            <w:vAlign w:val="center"/>
          </w:tcPr>
          <w:p w14:paraId="2AB13376">
            <w:pPr>
              <w:adjustRightInd w:val="0"/>
              <w:snapToGrid w:val="0"/>
              <w:jc w:val="center"/>
              <w:rPr>
                <w:rFonts w:hint="eastAsia" w:ascii="仿宋" w:hAnsi="仿宋" w:eastAsia="仿宋" w:cs="仿宋"/>
                <w:color w:val="auto"/>
                <w:sz w:val="21"/>
                <w:szCs w:val="21"/>
              </w:rPr>
            </w:pPr>
          </w:p>
        </w:tc>
        <w:tc>
          <w:tcPr>
            <w:tcW w:w="1850" w:type="dxa"/>
            <w:tcBorders>
              <w:tl2br w:val="nil"/>
              <w:tr2bl w:val="nil"/>
            </w:tcBorders>
            <w:noWrap w:val="0"/>
            <w:vAlign w:val="center"/>
          </w:tcPr>
          <w:p w14:paraId="5562903D">
            <w:pPr>
              <w:adjustRightInd w:val="0"/>
              <w:snapToGrid w:val="0"/>
              <w:jc w:val="center"/>
              <w:rPr>
                <w:rFonts w:hint="eastAsia" w:ascii="仿宋" w:hAnsi="仿宋" w:eastAsia="仿宋" w:cs="仿宋"/>
                <w:color w:val="auto"/>
                <w:sz w:val="21"/>
                <w:szCs w:val="21"/>
              </w:rPr>
            </w:pPr>
          </w:p>
        </w:tc>
        <w:tc>
          <w:tcPr>
            <w:tcW w:w="1251" w:type="dxa"/>
            <w:tcBorders>
              <w:tl2br w:val="nil"/>
              <w:tr2bl w:val="nil"/>
            </w:tcBorders>
            <w:noWrap w:val="0"/>
            <w:vAlign w:val="center"/>
          </w:tcPr>
          <w:p w14:paraId="126D4148">
            <w:pPr>
              <w:adjustRightInd w:val="0"/>
              <w:snapToGrid w:val="0"/>
              <w:jc w:val="center"/>
              <w:rPr>
                <w:rFonts w:hint="eastAsia" w:ascii="仿宋" w:hAnsi="仿宋" w:eastAsia="仿宋" w:cs="仿宋"/>
                <w:color w:val="auto"/>
                <w:sz w:val="21"/>
                <w:szCs w:val="21"/>
              </w:rPr>
            </w:pPr>
          </w:p>
        </w:tc>
        <w:tc>
          <w:tcPr>
            <w:tcW w:w="816" w:type="dxa"/>
            <w:tcBorders>
              <w:tl2br w:val="nil"/>
              <w:tr2bl w:val="nil"/>
            </w:tcBorders>
            <w:noWrap w:val="0"/>
            <w:vAlign w:val="center"/>
          </w:tcPr>
          <w:p w14:paraId="734D3D7D">
            <w:pPr>
              <w:adjustRightInd w:val="0"/>
              <w:snapToGrid w:val="0"/>
              <w:jc w:val="center"/>
              <w:rPr>
                <w:rFonts w:hint="eastAsia" w:ascii="仿宋" w:hAnsi="仿宋" w:eastAsia="仿宋" w:cs="仿宋"/>
                <w:color w:val="auto"/>
                <w:sz w:val="21"/>
                <w:szCs w:val="21"/>
              </w:rPr>
            </w:pPr>
          </w:p>
        </w:tc>
      </w:tr>
      <w:tr w14:paraId="5C27E5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66" w:type="dxa"/>
            <w:gridSpan w:val="6"/>
            <w:tcBorders>
              <w:tl2br w:val="nil"/>
              <w:tr2bl w:val="nil"/>
            </w:tcBorders>
            <w:noWrap w:val="0"/>
            <w:vAlign w:val="center"/>
          </w:tcPr>
          <w:p w14:paraId="4228BC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firstLineChars="200"/>
              <w:jc w:val="left"/>
              <w:textAlignment w:val="auto"/>
              <w:rPr>
                <w:rFonts w:hint="eastAsia" w:ascii="仿宋" w:hAnsi="仿宋" w:eastAsia="仿宋" w:cs="仿宋"/>
                <w:color w:val="auto"/>
                <w:sz w:val="21"/>
                <w:szCs w:val="21"/>
              </w:rPr>
            </w:pPr>
            <w:r>
              <w:rPr>
                <w:rFonts w:hint="eastAsia" w:ascii="仿宋" w:hAnsi="仿宋" w:eastAsia="仿宋" w:cs="仿宋"/>
                <w:b/>
                <w:color w:val="auto"/>
                <w:sz w:val="21"/>
                <w:szCs w:val="21"/>
                <w:lang w:eastAsia="zh-CN"/>
              </w:rPr>
              <w:t>供应商</w:t>
            </w:r>
            <w:r>
              <w:rPr>
                <w:rFonts w:hint="eastAsia" w:ascii="仿宋" w:hAnsi="仿宋" w:eastAsia="仿宋" w:cs="仿宋"/>
                <w:b/>
                <w:color w:val="auto"/>
                <w:sz w:val="21"/>
                <w:szCs w:val="21"/>
              </w:rPr>
              <w:t>保证：除本</w:t>
            </w:r>
            <w:r>
              <w:rPr>
                <w:rFonts w:hint="eastAsia" w:ascii="仿宋" w:hAnsi="仿宋" w:eastAsia="仿宋" w:cs="仿宋"/>
                <w:b/>
                <w:color w:val="auto"/>
                <w:sz w:val="21"/>
                <w:szCs w:val="21"/>
                <w:lang w:val="en-US" w:eastAsia="zh-CN"/>
              </w:rPr>
              <w:t>技术/</w:t>
            </w:r>
            <w:r>
              <w:rPr>
                <w:rFonts w:hint="eastAsia" w:ascii="仿宋" w:hAnsi="仿宋" w:eastAsia="仿宋" w:cs="仿宋"/>
                <w:b/>
                <w:color w:val="auto"/>
                <w:sz w:val="21"/>
                <w:szCs w:val="21"/>
              </w:rPr>
              <w:t>商务条款偏离表列出的偏离外，我单位对</w:t>
            </w:r>
            <w:r>
              <w:rPr>
                <w:rFonts w:hint="eastAsia" w:ascii="仿宋" w:hAnsi="仿宋" w:eastAsia="仿宋" w:cs="仿宋"/>
                <w:b/>
                <w:color w:val="auto"/>
                <w:sz w:val="21"/>
                <w:szCs w:val="21"/>
                <w:lang w:val="en-US" w:eastAsia="zh-CN"/>
              </w:rPr>
              <w:t>采购文件</w:t>
            </w:r>
            <w:r>
              <w:rPr>
                <w:rFonts w:hint="eastAsia" w:ascii="仿宋" w:hAnsi="仿宋" w:eastAsia="仿宋" w:cs="仿宋"/>
                <w:b/>
                <w:color w:val="auto"/>
                <w:sz w:val="21"/>
                <w:szCs w:val="21"/>
              </w:rPr>
              <w:t>的其他</w:t>
            </w:r>
            <w:r>
              <w:rPr>
                <w:rFonts w:hint="eastAsia" w:ascii="仿宋" w:hAnsi="仿宋" w:eastAsia="仿宋" w:cs="仿宋"/>
                <w:b/>
                <w:color w:val="auto"/>
                <w:sz w:val="21"/>
                <w:szCs w:val="21"/>
                <w:lang w:val="en-US" w:eastAsia="zh-CN"/>
              </w:rPr>
              <w:t>技术/</w:t>
            </w:r>
            <w:r>
              <w:rPr>
                <w:rFonts w:hint="eastAsia" w:ascii="仿宋" w:hAnsi="仿宋" w:eastAsia="仿宋" w:cs="仿宋"/>
                <w:b/>
                <w:color w:val="auto"/>
                <w:sz w:val="21"/>
                <w:szCs w:val="21"/>
              </w:rPr>
              <w:t>商务条款完全响应，无偏离。</w:t>
            </w:r>
          </w:p>
        </w:tc>
      </w:tr>
    </w:tbl>
    <w:p w14:paraId="0255E502">
      <w:pPr>
        <w:rPr>
          <w:rFonts w:hint="eastAsia" w:ascii="仿宋" w:hAnsi="仿宋" w:eastAsia="仿宋" w:cs="仿宋"/>
          <w:color w:val="auto"/>
        </w:rPr>
      </w:pPr>
    </w:p>
    <w:p w14:paraId="58AF3A44">
      <w:pPr>
        <w:keepNext w:val="0"/>
        <w:keepLines w:val="0"/>
        <w:pageBreakBefore w:val="0"/>
        <w:widowControl w:val="0"/>
        <w:kinsoku/>
        <w:wordWrap/>
        <w:overflowPunct/>
        <w:topLinePunct w:val="0"/>
        <w:autoSpaceDE/>
        <w:autoSpaceDN/>
        <w:bidi w:val="0"/>
        <w:adjustRightInd w:val="0"/>
        <w:snapToGrid w:val="0"/>
        <w:spacing w:before="20" w:line="360" w:lineRule="auto"/>
        <w:ind w:left="0" w:leftChars="0" w:firstLine="422" w:firstLineChars="200"/>
        <w:textAlignment w:val="auto"/>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lang w:val="en-US" w:eastAsia="zh-CN"/>
        </w:rPr>
        <w:t>备</w:t>
      </w:r>
      <w:r>
        <w:rPr>
          <w:rFonts w:hint="eastAsia" w:ascii="仿宋" w:hAnsi="仿宋" w:eastAsia="仿宋" w:cs="仿宋"/>
          <w:b/>
          <w:bCs w:val="0"/>
          <w:color w:val="auto"/>
          <w:sz w:val="21"/>
          <w:szCs w:val="21"/>
        </w:rPr>
        <w:t>注：</w:t>
      </w:r>
    </w:p>
    <w:p w14:paraId="05A911E2">
      <w:pPr>
        <w:keepNext w:val="0"/>
        <w:keepLines w:val="0"/>
        <w:pageBreakBefore w:val="0"/>
        <w:widowControl w:val="0"/>
        <w:kinsoku/>
        <w:wordWrap/>
        <w:overflowPunct/>
        <w:topLinePunct w:val="0"/>
        <w:autoSpaceDE/>
        <w:autoSpaceDN/>
        <w:bidi w:val="0"/>
        <w:adjustRightInd w:val="0"/>
        <w:snapToGrid w:val="0"/>
        <w:spacing w:before="20" w:line="360" w:lineRule="auto"/>
        <w:ind w:left="0" w:lef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应根据</w:t>
      </w:r>
      <w:r>
        <w:rPr>
          <w:rFonts w:hint="eastAsia" w:ascii="仿宋" w:hAnsi="仿宋" w:eastAsia="仿宋" w:cs="仿宋"/>
          <w:color w:val="auto"/>
          <w:sz w:val="21"/>
          <w:szCs w:val="21"/>
          <w:lang w:val="en-US" w:eastAsia="zh-CN"/>
        </w:rPr>
        <w:t>采购文件</w:t>
      </w:r>
      <w:r>
        <w:rPr>
          <w:rFonts w:hint="eastAsia" w:ascii="仿宋" w:hAnsi="仿宋" w:eastAsia="仿宋" w:cs="仿宋"/>
          <w:color w:val="auto"/>
          <w:sz w:val="21"/>
          <w:szCs w:val="21"/>
          <w:lang w:eastAsia="zh-CN"/>
        </w:rPr>
        <w:t>第二章“须知前附表”、</w:t>
      </w:r>
      <w:r>
        <w:rPr>
          <w:rFonts w:hint="eastAsia" w:ascii="仿宋" w:hAnsi="仿宋" w:eastAsia="仿宋" w:cs="仿宋"/>
          <w:color w:val="auto"/>
          <w:sz w:val="21"/>
          <w:szCs w:val="21"/>
        </w:rPr>
        <w:t>第</w:t>
      </w:r>
      <w:r>
        <w:rPr>
          <w:rFonts w:hint="eastAsia" w:ascii="仿宋" w:hAnsi="仿宋" w:eastAsia="仿宋" w:cs="仿宋"/>
          <w:color w:val="auto"/>
          <w:sz w:val="21"/>
          <w:szCs w:val="21"/>
          <w:lang w:val="en-US" w:eastAsia="zh-CN"/>
        </w:rPr>
        <w:t>三</w:t>
      </w:r>
      <w:r>
        <w:rPr>
          <w:rFonts w:hint="eastAsia" w:ascii="仿宋" w:hAnsi="仿宋" w:eastAsia="仿宋" w:cs="仿宋"/>
          <w:color w:val="auto"/>
          <w:sz w:val="21"/>
          <w:szCs w:val="21"/>
        </w:rPr>
        <w:t>章“</w:t>
      </w:r>
      <w:r>
        <w:rPr>
          <w:rFonts w:hint="eastAsia" w:ascii="仿宋" w:hAnsi="仿宋" w:eastAsia="仿宋" w:cs="仿宋"/>
          <w:color w:val="auto"/>
          <w:sz w:val="21"/>
          <w:szCs w:val="21"/>
          <w:lang w:val="en-US" w:eastAsia="zh-CN"/>
        </w:rPr>
        <w:t>合同草案条款</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和第四章“采购需求”</w:t>
      </w:r>
      <w:r>
        <w:rPr>
          <w:rFonts w:hint="eastAsia" w:ascii="仿宋" w:hAnsi="仿宋" w:eastAsia="仿宋" w:cs="仿宋"/>
          <w:color w:val="auto"/>
          <w:sz w:val="21"/>
          <w:szCs w:val="21"/>
        </w:rPr>
        <w:t>填写本表；</w:t>
      </w:r>
    </w:p>
    <w:p w14:paraId="7821686D">
      <w:pPr>
        <w:keepNext w:val="0"/>
        <w:keepLines w:val="0"/>
        <w:pageBreakBefore w:val="0"/>
        <w:widowControl w:val="0"/>
        <w:kinsoku/>
        <w:wordWrap/>
        <w:overflowPunct/>
        <w:topLinePunct w:val="0"/>
        <w:autoSpaceDE/>
        <w:autoSpaceDN/>
        <w:bidi w:val="0"/>
        <w:adjustRightInd w:val="0"/>
        <w:snapToGrid w:val="0"/>
        <w:spacing w:before="20" w:line="360" w:lineRule="auto"/>
        <w:ind w:left="0" w:leftChars="0" w:firstLine="422" w:firstLineChars="200"/>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2.</w:t>
      </w:r>
      <w:r>
        <w:rPr>
          <w:rFonts w:hint="eastAsia" w:ascii="仿宋" w:hAnsi="仿宋" w:eastAsia="仿宋" w:cs="仿宋"/>
          <w:b/>
          <w:color w:val="auto"/>
          <w:sz w:val="21"/>
          <w:szCs w:val="21"/>
          <w:lang w:val="en-US" w:eastAsia="zh-CN"/>
        </w:rPr>
        <w:t>供应商</w:t>
      </w:r>
      <w:r>
        <w:rPr>
          <w:rFonts w:hint="eastAsia" w:ascii="仿宋" w:hAnsi="仿宋" w:eastAsia="仿宋" w:cs="仿宋"/>
          <w:b/>
          <w:color w:val="auto"/>
          <w:sz w:val="21"/>
          <w:szCs w:val="21"/>
        </w:rPr>
        <w:t>如果对</w:t>
      </w:r>
      <w:r>
        <w:rPr>
          <w:rFonts w:hint="eastAsia" w:ascii="仿宋" w:hAnsi="仿宋" w:eastAsia="仿宋" w:cs="仿宋"/>
          <w:b/>
          <w:color w:val="auto"/>
          <w:sz w:val="21"/>
          <w:szCs w:val="21"/>
          <w:lang w:val="en-US" w:eastAsia="zh-CN"/>
        </w:rPr>
        <w:t>采购文件</w:t>
      </w:r>
      <w:r>
        <w:rPr>
          <w:rFonts w:hint="eastAsia" w:ascii="仿宋" w:hAnsi="仿宋" w:eastAsia="仿宋" w:cs="仿宋"/>
          <w:b/>
          <w:color w:val="auto"/>
          <w:sz w:val="21"/>
          <w:szCs w:val="21"/>
          <w:lang w:eastAsia="zh-CN"/>
        </w:rPr>
        <w:t>第二章“须知前附表”、</w:t>
      </w:r>
      <w:r>
        <w:rPr>
          <w:rFonts w:hint="eastAsia" w:ascii="仿宋" w:hAnsi="仿宋" w:eastAsia="仿宋" w:cs="仿宋"/>
          <w:b/>
          <w:color w:val="auto"/>
          <w:sz w:val="21"/>
          <w:szCs w:val="21"/>
        </w:rPr>
        <w:t>第</w:t>
      </w:r>
      <w:r>
        <w:rPr>
          <w:rFonts w:hint="eastAsia" w:ascii="仿宋" w:hAnsi="仿宋" w:eastAsia="仿宋" w:cs="仿宋"/>
          <w:b/>
          <w:color w:val="auto"/>
          <w:sz w:val="21"/>
          <w:szCs w:val="21"/>
          <w:lang w:val="en-US" w:eastAsia="zh-CN"/>
        </w:rPr>
        <w:t>三</w:t>
      </w:r>
      <w:r>
        <w:rPr>
          <w:rFonts w:hint="eastAsia" w:ascii="仿宋" w:hAnsi="仿宋" w:eastAsia="仿宋" w:cs="仿宋"/>
          <w:b/>
          <w:color w:val="auto"/>
          <w:sz w:val="21"/>
          <w:szCs w:val="21"/>
        </w:rPr>
        <w:t>章“</w:t>
      </w:r>
      <w:r>
        <w:rPr>
          <w:rFonts w:hint="eastAsia" w:ascii="仿宋" w:hAnsi="仿宋" w:eastAsia="仿宋" w:cs="仿宋"/>
          <w:b/>
          <w:color w:val="auto"/>
          <w:sz w:val="21"/>
          <w:szCs w:val="21"/>
          <w:lang w:val="en-US" w:eastAsia="zh-CN"/>
        </w:rPr>
        <w:t>合同草案条款</w:t>
      </w:r>
      <w:r>
        <w:rPr>
          <w:rFonts w:hint="eastAsia" w:ascii="仿宋" w:hAnsi="仿宋" w:eastAsia="仿宋" w:cs="仿宋"/>
          <w:b/>
          <w:color w:val="auto"/>
          <w:sz w:val="21"/>
          <w:szCs w:val="21"/>
        </w:rPr>
        <w:t>”</w:t>
      </w:r>
      <w:r>
        <w:rPr>
          <w:rFonts w:hint="eastAsia" w:ascii="仿宋" w:hAnsi="仿宋" w:eastAsia="仿宋" w:cs="仿宋"/>
          <w:b/>
          <w:color w:val="auto"/>
          <w:sz w:val="21"/>
          <w:szCs w:val="21"/>
          <w:lang w:val="en-US" w:eastAsia="zh-CN"/>
        </w:rPr>
        <w:t>和第四章“采购需求”</w:t>
      </w:r>
      <w:r>
        <w:rPr>
          <w:rFonts w:hint="eastAsia" w:ascii="仿宋" w:hAnsi="仿宋" w:eastAsia="仿宋" w:cs="仿宋"/>
          <w:b/>
          <w:color w:val="auto"/>
          <w:sz w:val="21"/>
          <w:szCs w:val="21"/>
        </w:rPr>
        <w:t>的响应有偏离，应将偏离条款逐条如实应答，并在偏离说明栏作出说明</w:t>
      </w:r>
      <w:r>
        <w:rPr>
          <w:rFonts w:hint="eastAsia" w:ascii="仿宋" w:hAnsi="仿宋" w:eastAsia="仿宋" w:cs="仿宋"/>
          <w:b/>
          <w:color w:val="auto"/>
          <w:sz w:val="21"/>
          <w:szCs w:val="21"/>
          <w:lang w:eastAsia="zh-CN"/>
        </w:rPr>
        <w:t>。</w:t>
      </w:r>
    </w:p>
    <w:p w14:paraId="4F3ECF81">
      <w:pPr>
        <w:adjustRightInd w:val="0"/>
        <w:snapToGrid w:val="0"/>
        <w:spacing w:before="5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3.如不提供此表，则视为</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不满足</w:t>
      </w:r>
      <w:r>
        <w:rPr>
          <w:rFonts w:hint="eastAsia" w:ascii="仿宋" w:hAnsi="仿宋" w:eastAsia="仿宋" w:cs="仿宋"/>
          <w:color w:val="auto"/>
          <w:sz w:val="21"/>
          <w:szCs w:val="21"/>
          <w:lang w:val="en-US" w:eastAsia="zh-CN"/>
        </w:rPr>
        <w:t>采购文件</w:t>
      </w:r>
      <w:r>
        <w:rPr>
          <w:rFonts w:hint="eastAsia" w:ascii="仿宋" w:hAnsi="仿宋" w:eastAsia="仿宋" w:cs="仿宋"/>
          <w:color w:val="auto"/>
          <w:sz w:val="21"/>
          <w:szCs w:val="21"/>
        </w:rPr>
        <w:t>所有</w:t>
      </w:r>
      <w:r>
        <w:rPr>
          <w:rFonts w:hint="eastAsia" w:ascii="仿宋" w:hAnsi="仿宋" w:eastAsia="仿宋" w:cs="仿宋"/>
          <w:color w:val="auto"/>
          <w:sz w:val="21"/>
          <w:szCs w:val="21"/>
          <w:lang w:eastAsia="zh-CN"/>
        </w:rPr>
        <w:t>商务</w:t>
      </w:r>
      <w:r>
        <w:rPr>
          <w:rFonts w:hint="eastAsia" w:ascii="仿宋" w:hAnsi="仿宋" w:eastAsia="仿宋" w:cs="仿宋"/>
          <w:color w:val="auto"/>
          <w:sz w:val="21"/>
          <w:szCs w:val="21"/>
          <w:lang w:val="en-US" w:eastAsia="zh-CN"/>
        </w:rPr>
        <w:t>/技术</w:t>
      </w:r>
      <w:r>
        <w:rPr>
          <w:rFonts w:hint="eastAsia" w:ascii="仿宋" w:hAnsi="仿宋" w:eastAsia="仿宋" w:cs="仿宋"/>
          <w:color w:val="auto"/>
          <w:sz w:val="21"/>
          <w:szCs w:val="21"/>
        </w:rPr>
        <w:t>条款要求，其</w:t>
      </w:r>
      <w:r>
        <w:rPr>
          <w:rFonts w:hint="eastAsia" w:ascii="仿宋" w:hAnsi="仿宋" w:eastAsia="仿宋" w:cs="仿宋"/>
          <w:b/>
          <w:bCs/>
          <w:color w:val="auto"/>
          <w:sz w:val="21"/>
          <w:szCs w:val="21"/>
          <w:lang w:val="en-US" w:eastAsia="zh-CN"/>
        </w:rPr>
        <w:t>响应</w:t>
      </w:r>
      <w:r>
        <w:rPr>
          <w:rFonts w:hint="eastAsia" w:ascii="仿宋" w:hAnsi="仿宋" w:eastAsia="仿宋" w:cs="仿宋"/>
          <w:b/>
          <w:color w:val="auto"/>
          <w:sz w:val="21"/>
          <w:szCs w:val="21"/>
        </w:rPr>
        <w:t>无效</w:t>
      </w:r>
      <w:r>
        <w:rPr>
          <w:rFonts w:hint="eastAsia" w:ascii="仿宋" w:hAnsi="仿宋" w:eastAsia="仿宋" w:cs="仿宋"/>
          <w:color w:val="auto"/>
          <w:sz w:val="21"/>
          <w:szCs w:val="21"/>
        </w:rPr>
        <w:t>。</w:t>
      </w:r>
    </w:p>
    <w:p w14:paraId="0CEF7D72">
      <w:pPr>
        <w:adjustRightInd w:val="0"/>
        <w:snapToGrid w:val="0"/>
        <w:spacing w:before="5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 w:val="21"/>
          <w:szCs w:val="21"/>
        </w:rPr>
        <w:t>4.</w:t>
      </w:r>
      <w:r>
        <w:rPr>
          <w:rFonts w:hint="eastAsia" w:ascii="仿宋" w:hAnsi="仿宋" w:eastAsia="仿宋" w:cs="仿宋"/>
          <w:color w:val="auto"/>
          <w:szCs w:val="21"/>
        </w:rPr>
        <w:t>在采购人与成交供应商签订合同时，如成交供应商未在响应文件“</w:t>
      </w:r>
      <w:r>
        <w:rPr>
          <w:rFonts w:hint="eastAsia" w:ascii="仿宋" w:hAnsi="仿宋" w:eastAsia="仿宋" w:cs="仿宋"/>
          <w:color w:val="auto"/>
          <w:szCs w:val="21"/>
          <w:lang w:val="en-US" w:eastAsia="zh-CN"/>
        </w:rPr>
        <w:t>技术或商务响应偏离表</w:t>
      </w:r>
      <w:r>
        <w:rPr>
          <w:rFonts w:hint="eastAsia" w:ascii="仿宋" w:hAnsi="仿宋" w:eastAsia="仿宋" w:cs="仿宋"/>
          <w:color w:val="auto"/>
          <w:szCs w:val="21"/>
        </w:rPr>
        <w:t>”中列出偏离说明，无论已发生或即将发生任何情形，均视为完全符合</w:t>
      </w:r>
      <w:r>
        <w:rPr>
          <w:rFonts w:hint="eastAsia" w:ascii="仿宋" w:hAnsi="仿宋" w:eastAsia="仿宋" w:cs="仿宋"/>
          <w:color w:val="auto"/>
          <w:szCs w:val="21"/>
          <w:lang w:eastAsia="zh-CN"/>
        </w:rPr>
        <w:t>采购文件</w:t>
      </w:r>
      <w:r>
        <w:rPr>
          <w:rFonts w:hint="eastAsia" w:ascii="仿宋" w:hAnsi="仿宋" w:eastAsia="仿宋" w:cs="仿宋"/>
          <w:color w:val="auto"/>
          <w:szCs w:val="21"/>
        </w:rPr>
        <w:t>要求，并写入合同。若成交供应商在合同签订前，以上述事项为借口而不履行合同签订手续及执行合同，则视作拒绝与采购人签订合同。</w:t>
      </w:r>
    </w:p>
    <w:p w14:paraId="3C94EF8A">
      <w:pPr>
        <w:adjustRightInd w:val="0"/>
        <w:snapToGrid w:val="0"/>
        <w:spacing w:before="72" w:beforeLines="30" w:line="360" w:lineRule="auto"/>
        <w:ind w:firstLine="630" w:firstLineChars="300"/>
        <w:rPr>
          <w:rFonts w:hint="eastAsia" w:ascii="仿宋" w:hAnsi="仿宋" w:eastAsia="仿宋" w:cs="仿宋"/>
          <w:color w:val="auto"/>
          <w:sz w:val="21"/>
          <w:szCs w:val="21"/>
          <w:highlight w:val="none"/>
        </w:rPr>
      </w:pPr>
    </w:p>
    <w:p w14:paraId="7D5F56B9">
      <w:pPr>
        <w:spacing w:line="360" w:lineRule="auto"/>
        <w:rPr>
          <w:rFonts w:hint="eastAsia" w:ascii="仿宋" w:hAnsi="仿宋" w:eastAsia="仿宋" w:cs="仿宋"/>
          <w:color w:val="auto"/>
          <w:sz w:val="21"/>
          <w:szCs w:val="21"/>
          <w:highlight w:val="none"/>
        </w:rPr>
      </w:pPr>
    </w:p>
    <w:p w14:paraId="7676A5A0">
      <w:pPr>
        <w:spacing w:line="360" w:lineRule="auto"/>
        <w:rPr>
          <w:rFonts w:hint="eastAsia" w:ascii="仿宋" w:hAnsi="仿宋" w:eastAsia="仿宋" w:cs="仿宋"/>
          <w:color w:val="auto"/>
          <w:sz w:val="21"/>
          <w:szCs w:val="21"/>
          <w:highlight w:val="none"/>
        </w:rPr>
      </w:pPr>
    </w:p>
    <w:p w14:paraId="53B8F1A7">
      <w:pPr>
        <w:spacing w:line="360" w:lineRule="auto"/>
        <w:ind w:left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 w:val="21"/>
          <w:szCs w:val="21"/>
          <w:highlight w:val="none"/>
          <w:lang w:val="en-US" w:eastAsia="zh-CN"/>
        </w:rPr>
        <w:t>单位公</w:t>
      </w:r>
      <w:r>
        <w:rPr>
          <w:rFonts w:hint="eastAsia" w:ascii="仿宋" w:hAnsi="仿宋" w:eastAsia="仿宋" w:cs="仿宋"/>
          <w:color w:val="auto"/>
          <w:sz w:val="21"/>
          <w:szCs w:val="21"/>
          <w:highlight w:val="none"/>
        </w:rPr>
        <w:t>章）：</w:t>
      </w:r>
      <w:r>
        <w:rPr>
          <w:rFonts w:hint="eastAsia" w:ascii="仿宋" w:hAnsi="仿宋" w:eastAsia="仿宋" w:cs="仿宋"/>
          <w:color w:val="auto"/>
          <w:sz w:val="21"/>
          <w:szCs w:val="21"/>
          <w:highlight w:val="none"/>
          <w:u w:val="single"/>
        </w:rPr>
        <w:t xml:space="preserve">                           </w:t>
      </w:r>
    </w:p>
    <w:p w14:paraId="393EEB5A">
      <w:pPr>
        <w:spacing w:line="360" w:lineRule="auto"/>
        <w:ind w:leftChars="17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法定代表人或其委托代理人(签字)：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1C5A913D">
      <w:pPr>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rPr>
        <w:br w:type="page"/>
      </w:r>
    </w:p>
    <w:p w14:paraId="3E9E3BEC">
      <w:pPr>
        <w:pStyle w:val="16"/>
        <w:adjustRightInd w:val="0"/>
        <w:snapToGrid w:val="0"/>
        <w:spacing w:line="360" w:lineRule="auto"/>
        <w:jc w:val="center"/>
        <w:outlineLvl w:val="1"/>
        <w:rPr>
          <w:rFonts w:hint="eastAsia" w:ascii="仿宋" w:hAnsi="仿宋" w:eastAsia="仿宋" w:cs="仿宋"/>
          <w:b/>
          <w:color w:val="auto"/>
          <w:szCs w:val="32"/>
          <w:highlight w:val="none"/>
          <w:lang w:val="en-US"/>
        </w:rPr>
      </w:pPr>
      <w:bookmarkStart w:id="201" w:name="_Toc5810"/>
      <w:bookmarkStart w:id="202" w:name="_Toc18341"/>
      <w:r>
        <w:rPr>
          <w:rFonts w:hint="eastAsia" w:ascii="仿宋" w:hAnsi="仿宋" w:eastAsia="仿宋" w:cs="仿宋"/>
          <w:b/>
          <w:color w:val="auto"/>
          <w:szCs w:val="32"/>
          <w:highlight w:val="none"/>
          <w:lang w:val="en-US" w:eastAsia="zh-CN"/>
        </w:rPr>
        <w:t>七、</w:t>
      </w:r>
      <w:bookmarkEnd w:id="201"/>
      <w:r>
        <w:rPr>
          <w:rFonts w:hint="eastAsia" w:ascii="仿宋" w:hAnsi="仿宋" w:eastAsia="仿宋" w:cs="仿宋"/>
          <w:b/>
          <w:color w:val="auto"/>
          <w:szCs w:val="32"/>
          <w:highlight w:val="none"/>
          <w:lang w:val="en-US" w:eastAsia="zh-CN"/>
        </w:rPr>
        <w:t>提供享受采购政策的证明材料和清单表</w:t>
      </w:r>
      <w:bookmarkEnd w:id="202"/>
    </w:p>
    <w:p w14:paraId="19919C85">
      <w:pPr>
        <w:rPr>
          <w:rFonts w:hint="eastAsia" w:ascii="仿宋" w:hAnsi="仿宋" w:eastAsia="仿宋" w:cs="仿宋"/>
          <w:color w:val="auto"/>
          <w:highlight w:val="none"/>
        </w:rPr>
      </w:pPr>
    </w:p>
    <w:p w14:paraId="19B9A2FF">
      <w:pPr>
        <w:jc w:val="center"/>
        <w:rPr>
          <w:rFonts w:hint="eastAsia" w:ascii="仿宋" w:hAnsi="仿宋" w:eastAsia="仿宋" w:cs="仿宋"/>
          <w:color w:val="auto"/>
          <w:szCs w:val="21"/>
        </w:rPr>
      </w:pPr>
      <w:r>
        <w:rPr>
          <w:rFonts w:hint="eastAsia" w:ascii="仿宋" w:hAnsi="仿宋" w:eastAsia="仿宋" w:cs="仿宋"/>
          <w:color w:val="auto"/>
          <w:lang w:eastAsia="zh-CN"/>
        </w:rPr>
        <w:t>（</w:t>
      </w:r>
      <w:r>
        <w:rPr>
          <w:rFonts w:hint="eastAsia" w:ascii="仿宋" w:hAnsi="仿宋" w:eastAsia="仿宋" w:cs="仿宋"/>
          <w:color w:val="auto"/>
          <w:lang w:val="en-US" w:eastAsia="zh-CN"/>
        </w:rPr>
        <w:t>本项目不适用）</w:t>
      </w:r>
      <w:r>
        <w:rPr>
          <w:rFonts w:hint="eastAsia" w:ascii="仿宋" w:hAnsi="仿宋" w:eastAsia="仿宋" w:cs="仿宋"/>
          <w:color w:val="auto"/>
        </w:rPr>
        <w:br w:type="page"/>
      </w:r>
    </w:p>
    <w:p w14:paraId="758AF33E">
      <w:pPr>
        <w:adjustRightInd w:val="0"/>
        <w:snapToGrid w:val="0"/>
        <w:jc w:val="center"/>
        <w:outlineLvl w:val="1"/>
        <w:rPr>
          <w:rFonts w:hint="eastAsia" w:ascii="仿宋" w:hAnsi="仿宋" w:eastAsia="仿宋" w:cs="仿宋"/>
          <w:b/>
          <w:bCs/>
          <w:color w:val="auto"/>
          <w:sz w:val="32"/>
          <w:szCs w:val="32"/>
          <w:highlight w:val="none"/>
        </w:rPr>
      </w:pPr>
      <w:bookmarkStart w:id="203" w:name="_Toc11365"/>
      <w:bookmarkStart w:id="204" w:name="_Toc11324"/>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w:t>
      </w:r>
      <w:bookmarkEnd w:id="203"/>
      <w:bookmarkEnd w:id="204"/>
      <w:r>
        <w:rPr>
          <w:rFonts w:hint="eastAsia" w:ascii="仿宋" w:hAnsi="仿宋" w:eastAsia="仿宋" w:cs="仿宋"/>
          <w:b/>
          <w:bCs/>
          <w:color w:val="auto"/>
          <w:sz w:val="32"/>
          <w:szCs w:val="32"/>
          <w:highlight w:val="none"/>
        </w:rPr>
        <w:t>供应商认为需要提供的其它资料</w:t>
      </w:r>
    </w:p>
    <w:p w14:paraId="15F0C218">
      <w:pPr>
        <w:outlineLvl w:val="9"/>
        <w:rPr>
          <w:rFonts w:hint="eastAsia" w:ascii="仿宋" w:hAnsi="仿宋" w:eastAsia="仿宋" w:cs="仿宋"/>
          <w:color w:val="auto"/>
          <w:szCs w:val="21"/>
          <w:highlight w:val="none"/>
        </w:rPr>
      </w:pPr>
    </w:p>
    <w:p w14:paraId="5B10125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仿宋" w:hAnsi="仿宋" w:eastAsia="仿宋" w:cs="仿宋"/>
          <w:b/>
          <w:bCs/>
          <w:color w:val="auto"/>
          <w:kern w:val="1"/>
          <w:sz w:val="21"/>
          <w:szCs w:val="21"/>
          <w:highlight w:val="none"/>
          <w:lang w:val="en-US" w:eastAsia="zh-CN"/>
        </w:rPr>
      </w:pPr>
      <w:r>
        <w:rPr>
          <w:rFonts w:hint="eastAsia" w:ascii="仿宋" w:hAnsi="仿宋" w:eastAsia="仿宋" w:cs="仿宋"/>
          <w:b/>
          <w:bCs/>
          <w:color w:val="auto"/>
          <w:kern w:val="1"/>
          <w:sz w:val="21"/>
          <w:szCs w:val="21"/>
          <w:highlight w:val="none"/>
          <w:lang w:val="en-US" w:eastAsia="zh-CN"/>
        </w:rPr>
        <w:t>备注：</w:t>
      </w:r>
    </w:p>
    <w:p w14:paraId="099F90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color w:val="auto"/>
          <w:kern w:val="1"/>
          <w:sz w:val="21"/>
          <w:szCs w:val="21"/>
          <w:highlight w:val="none"/>
          <w:lang w:val="en-US" w:eastAsia="zh-CN"/>
        </w:rPr>
      </w:pP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lang w:val="en-US" w:eastAsia="zh-CN"/>
        </w:rPr>
        <w:t>1</w:t>
      </w: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rPr>
        <w:t>提供</w:t>
      </w:r>
      <w:r>
        <w:rPr>
          <w:rFonts w:hint="eastAsia" w:ascii="仿宋" w:hAnsi="仿宋" w:eastAsia="仿宋" w:cs="仿宋"/>
          <w:color w:val="auto"/>
          <w:kern w:val="1"/>
          <w:sz w:val="21"/>
          <w:szCs w:val="21"/>
          <w:highlight w:val="none"/>
          <w:lang w:val="en-US" w:eastAsia="zh-CN"/>
        </w:rPr>
        <w:t>第二章</w:t>
      </w:r>
      <w:r>
        <w:rPr>
          <w:rFonts w:hint="eastAsia" w:ascii="仿宋" w:hAnsi="仿宋" w:eastAsia="仿宋" w:cs="仿宋"/>
          <w:color w:val="auto"/>
          <w:kern w:val="1"/>
          <w:sz w:val="21"/>
          <w:szCs w:val="21"/>
          <w:highlight w:val="none"/>
        </w:rPr>
        <w:t>评</w:t>
      </w:r>
      <w:r>
        <w:rPr>
          <w:rFonts w:hint="eastAsia" w:ascii="仿宋" w:hAnsi="仿宋" w:eastAsia="仿宋" w:cs="仿宋"/>
          <w:color w:val="auto"/>
          <w:kern w:val="1"/>
          <w:sz w:val="21"/>
          <w:szCs w:val="21"/>
          <w:highlight w:val="none"/>
          <w:lang w:eastAsia="zh-CN"/>
        </w:rPr>
        <w:t>审因素</w:t>
      </w:r>
      <w:r>
        <w:rPr>
          <w:rFonts w:hint="eastAsia" w:ascii="仿宋" w:hAnsi="仿宋" w:eastAsia="仿宋" w:cs="仿宋"/>
          <w:color w:val="auto"/>
          <w:kern w:val="1"/>
          <w:sz w:val="21"/>
          <w:szCs w:val="21"/>
          <w:highlight w:val="none"/>
          <w:lang w:val="en-US" w:eastAsia="zh-CN"/>
        </w:rPr>
        <w:t>和</w:t>
      </w:r>
      <w:r>
        <w:rPr>
          <w:rFonts w:hint="eastAsia" w:ascii="仿宋" w:hAnsi="仿宋" w:eastAsia="仿宋" w:cs="仿宋"/>
          <w:color w:val="auto"/>
          <w:kern w:val="1"/>
          <w:sz w:val="21"/>
          <w:szCs w:val="21"/>
          <w:highlight w:val="none"/>
          <w:lang w:eastAsia="zh-CN"/>
        </w:rPr>
        <w:t>标准</w:t>
      </w:r>
      <w:r>
        <w:rPr>
          <w:rFonts w:hint="eastAsia" w:ascii="仿宋" w:hAnsi="仿宋" w:eastAsia="仿宋" w:cs="仿宋"/>
          <w:color w:val="auto"/>
          <w:kern w:val="1"/>
          <w:sz w:val="21"/>
          <w:szCs w:val="21"/>
          <w:highlight w:val="none"/>
          <w:lang w:val="en-US" w:eastAsia="zh-CN"/>
        </w:rPr>
        <w:t>中</w:t>
      </w:r>
      <w:r>
        <w:rPr>
          <w:rFonts w:hint="eastAsia" w:ascii="仿宋" w:hAnsi="仿宋" w:eastAsia="仿宋" w:cs="仿宋"/>
          <w:color w:val="auto"/>
          <w:kern w:val="1"/>
          <w:sz w:val="21"/>
          <w:szCs w:val="21"/>
          <w:highlight w:val="none"/>
        </w:rPr>
        <w:t>需要提供的相关</w:t>
      </w:r>
      <w:r>
        <w:rPr>
          <w:rFonts w:hint="eastAsia" w:ascii="仿宋" w:hAnsi="仿宋" w:eastAsia="仿宋" w:cs="仿宋"/>
          <w:color w:val="auto"/>
          <w:kern w:val="1"/>
          <w:sz w:val="21"/>
          <w:szCs w:val="21"/>
          <w:highlight w:val="none"/>
          <w:lang w:val="en-US" w:eastAsia="zh-CN"/>
        </w:rPr>
        <w:t>证明</w:t>
      </w:r>
      <w:r>
        <w:rPr>
          <w:rFonts w:hint="eastAsia" w:ascii="仿宋" w:hAnsi="仿宋" w:eastAsia="仿宋" w:cs="仿宋"/>
          <w:color w:val="auto"/>
          <w:kern w:val="1"/>
          <w:sz w:val="21"/>
          <w:szCs w:val="21"/>
          <w:highlight w:val="none"/>
        </w:rPr>
        <w:t>文件</w:t>
      </w: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lang w:val="en-US" w:eastAsia="zh-CN"/>
        </w:rPr>
        <w:t>方案等</w:t>
      </w: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lang w:val="en-US" w:eastAsia="zh-CN"/>
        </w:rPr>
        <w:t>如有</w:t>
      </w: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lang w:val="en-US" w:eastAsia="zh-CN"/>
        </w:rPr>
        <w:t>；</w:t>
      </w:r>
    </w:p>
    <w:p w14:paraId="325C0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仿宋" w:hAnsi="仿宋" w:eastAsia="仿宋" w:cs="仿宋"/>
          <w:color w:val="auto"/>
          <w:kern w:val="1"/>
          <w:sz w:val="21"/>
          <w:szCs w:val="21"/>
          <w:highlight w:val="none"/>
          <w:lang w:val="en-US" w:eastAsia="zh-CN"/>
        </w:rPr>
      </w:pP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lang w:val="en-US" w:eastAsia="zh-CN"/>
        </w:rPr>
        <w:t>2</w:t>
      </w: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rPr>
        <w:t>提供</w:t>
      </w:r>
      <w:r>
        <w:rPr>
          <w:rFonts w:hint="eastAsia" w:ascii="仿宋" w:hAnsi="仿宋" w:eastAsia="仿宋" w:cs="仿宋"/>
          <w:color w:val="auto"/>
          <w:kern w:val="1"/>
          <w:sz w:val="21"/>
          <w:szCs w:val="21"/>
          <w:highlight w:val="none"/>
          <w:lang w:val="en-US" w:eastAsia="zh-CN"/>
        </w:rPr>
        <w:t>第四章采购需求中</w:t>
      </w:r>
      <w:r>
        <w:rPr>
          <w:rFonts w:hint="eastAsia" w:ascii="仿宋" w:hAnsi="仿宋" w:eastAsia="仿宋" w:cs="仿宋"/>
          <w:color w:val="auto"/>
          <w:kern w:val="1"/>
          <w:sz w:val="21"/>
          <w:szCs w:val="21"/>
          <w:highlight w:val="none"/>
        </w:rPr>
        <w:t>需要提供的相关</w:t>
      </w:r>
      <w:r>
        <w:rPr>
          <w:rFonts w:hint="eastAsia" w:ascii="仿宋" w:hAnsi="仿宋" w:eastAsia="仿宋" w:cs="仿宋"/>
          <w:color w:val="auto"/>
          <w:kern w:val="1"/>
          <w:sz w:val="21"/>
          <w:szCs w:val="21"/>
          <w:highlight w:val="none"/>
          <w:lang w:val="en-US" w:eastAsia="zh-CN"/>
        </w:rPr>
        <w:t>证明</w:t>
      </w:r>
      <w:r>
        <w:rPr>
          <w:rFonts w:hint="eastAsia" w:ascii="仿宋" w:hAnsi="仿宋" w:eastAsia="仿宋" w:cs="仿宋"/>
          <w:color w:val="auto"/>
          <w:kern w:val="1"/>
          <w:sz w:val="21"/>
          <w:szCs w:val="21"/>
          <w:highlight w:val="none"/>
        </w:rPr>
        <w:t>文件</w:t>
      </w:r>
      <w:r>
        <w:rPr>
          <w:rFonts w:hint="eastAsia" w:ascii="仿宋" w:hAnsi="仿宋" w:eastAsia="仿宋" w:cs="仿宋"/>
          <w:color w:val="auto"/>
          <w:kern w:val="1"/>
          <w:sz w:val="21"/>
          <w:szCs w:val="21"/>
          <w:highlight w:val="none"/>
          <w:lang w:val="en-US" w:eastAsia="zh-CN"/>
        </w:rPr>
        <w:t>等</w:t>
      </w: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lang w:val="en-US" w:eastAsia="zh-CN"/>
        </w:rPr>
        <w:t>如有要求</w:t>
      </w:r>
      <w:r>
        <w:rPr>
          <w:rFonts w:hint="eastAsia" w:ascii="仿宋" w:hAnsi="仿宋" w:eastAsia="仿宋" w:cs="仿宋"/>
          <w:color w:val="auto"/>
          <w:kern w:val="1"/>
          <w:sz w:val="21"/>
          <w:szCs w:val="21"/>
          <w:highlight w:val="none"/>
          <w:lang w:eastAsia="zh-CN"/>
        </w:rPr>
        <w:t>）</w:t>
      </w:r>
      <w:r>
        <w:rPr>
          <w:rFonts w:hint="eastAsia" w:ascii="仿宋" w:hAnsi="仿宋" w:eastAsia="仿宋" w:cs="仿宋"/>
          <w:color w:val="auto"/>
          <w:kern w:val="1"/>
          <w:sz w:val="21"/>
          <w:szCs w:val="21"/>
          <w:highlight w:val="none"/>
          <w:lang w:val="en-US" w:eastAsia="zh-CN"/>
        </w:rPr>
        <w:t>；</w:t>
      </w:r>
    </w:p>
    <w:p w14:paraId="401FD03E">
      <w:pPr>
        <w:spacing w:line="400" w:lineRule="exact"/>
        <w:ind w:firstLine="420" w:firstLineChars="200"/>
        <w:rPr>
          <w:rFonts w:hint="eastAsia" w:ascii="仿宋" w:hAnsi="仿宋" w:eastAsia="仿宋" w:cs="仿宋"/>
          <w:color w:val="auto"/>
          <w:sz w:val="21"/>
          <w:szCs w:val="21"/>
          <w:highlight w:val="none"/>
        </w:rPr>
        <w:sectPr>
          <w:footerReference r:id="rId5" w:type="first"/>
          <w:headerReference r:id="rId3" w:type="default"/>
          <w:footerReference r:id="rId4" w:type="default"/>
          <w:pgSz w:w="11906" w:h="16838"/>
          <w:pgMar w:top="1298" w:right="1304" w:bottom="1338" w:left="1304" w:header="850" w:footer="850" w:gutter="0"/>
          <w:pgBorders>
            <w:top w:val="none" w:sz="0" w:space="0"/>
            <w:left w:val="none" w:sz="0" w:space="0"/>
            <w:bottom w:val="none" w:sz="0" w:space="0"/>
            <w:right w:val="none" w:sz="0" w:space="0"/>
          </w:pgBorders>
          <w:pgNumType w:fmt="decimal"/>
          <w:cols w:space="720" w:num="1"/>
          <w:titlePg/>
          <w:docGrid w:linePitch="319" w:charSpace="0"/>
        </w:sectPr>
      </w:pPr>
      <w:r>
        <w:rPr>
          <w:rFonts w:hint="eastAsia" w:ascii="仿宋" w:hAnsi="仿宋" w:eastAsia="仿宋" w:cs="仿宋"/>
          <w:color w:val="auto"/>
          <w:kern w:val="1"/>
          <w:sz w:val="21"/>
          <w:szCs w:val="21"/>
          <w:highlight w:val="none"/>
          <w:lang w:val="en-US" w:eastAsia="zh-CN" w:bidi="ar-SA"/>
        </w:rPr>
        <w:t>（3）提供供应商认为需要提供的其它资料。</w:t>
      </w:r>
    </w:p>
    <w:p w14:paraId="3FAB2B97">
      <w:pPr>
        <w:rPr>
          <w:rFonts w:hint="eastAsia" w:ascii="仿宋" w:hAnsi="仿宋" w:eastAsia="仿宋" w:cs="仿宋"/>
          <w:color w:val="auto"/>
          <w:highlight w:val="none"/>
        </w:rPr>
      </w:pPr>
    </w:p>
    <w:p w14:paraId="084C2D9C">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jc w:val="center"/>
        <w:textAlignment w:val="auto"/>
        <w:rPr>
          <w:rFonts w:hint="eastAsia" w:ascii="仿宋" w:hAnsi="仿宋" w:eastAsia="仿宋" w:cs="仿宋"/>
          <w:b/>
          <w:color w:val="auto"/>
          <w:sz w:val="32"/>
          <w:szCs w:val="32"/>
          <w:highlight w:val="none"/>
        </w:rPr>
      </w:pPr>
      <w:bookmarkStart w:id="205" w:name="_Toc29011"/>
      <w:bookmarkStart w:id="206" w:name="_Toc22073"/>
      <w:r>
        <w:rPr>
          <w:rFonts w:hint="eastAsia" w:ascii="仿宋" w:hAnsi="仿宋" w:eastAsia="仿宋" w:cs="仿宋"/>
          <w:b/>
          <w:bCs/>
          <w:color w:val="auto"/>
          <w:sz w:val="32"/>
          <w:szCs w:val="32"/>
          <w:highlight w:val="none"/>
          <w:lang w:val="en-US" w:eastAsia="zh-CN"/>
        </w:rPr>
        <w:t>九、</w:t>
      </w:r>
      <w:bookmarkEnd w:id="205"/>
      <w:bookmarkEnd w:id="206"/>
      <w:r>
        <w:rPr>
          <w:rFonts w:hint="eastAsia" w:ascii="仿宋" w:hAnsi="仿宋" w:eastAsia="仿宋" w:cs="仿宋"/>
          <w:b/>
          <w:bCs/>
          <w:color w:val="auto"/>
          <w:sz w:val="32"/>
          <w:szCs w:val="32"/>
          <w:highlight w:val="none"/>
          <w:lang w:val="en-US" w:eastAsia="zh-CN"/>
        </w:rPr>
        <w:t>报价</w:t>
      </w:r>
      <w:r>
        <w:rPr>
          <w:rFonts w:hint="eastAsia" w:ascii="仿宋" w:hAnsi="仿宋" w:eastAsia="仿宋" w:cs="仿宋"/>
          <w:b/>
          <w:bCs/>
          <w:color w:val="auto"/>
          <w:sz w:val="32"/>
          <w:szCs w:val="32"/>
          <w:highlight w:val="none"/>
        </w:rPr>
        <w:t>表及</w:t>
      </w:r>
      <w:r>
        <w:rPr>
          <w:rFonts w:hint="eastAsia" w:ascii="仿宋" w:hAnsi="仿宋" w:eastAsia="仿宋" w:cs="仿宋"/>
          <w:b/>
          <w:bCs/>
          <w:color w:val="auto"/>
          <w:sz w:val="32"/>
          <w:szCs w:val="32"/>
          <w:highlight w:val="none"/>
          <w:lang w:val="en-US" w:eastAsia="zh-CN"/>
        </w:rPr>
        <w:t>分项价格表</w:t>
      </w:r>
    </w:p>
    <w:p w14:paraId="05759BB7">
      <w:pPr>
        <w:rPr>
          <w:rFonts w:hint="eastAsia" w:ascii="仿宋" w:hAnsi="仿宋" w:eastAsia="仿宋" w:cs="仿宋"/>
          <w:color w:val="auto"/>
          <w:highlight w:val="none"/>
          <w:lang w:val="en-US" w:eastAsia="zh-CN"/>
        </w:rPr>
      </w:pPr>
    </w:p>
    <w:p w14:paraId="2D25FC3B">
      <w:pPr>
        <w:pStyle w:val="4"/>
        <w:bidi w:val="0"/>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附件9-1 报价表</w:t>
      </w:r>
    </w:p>
    <w:p w14:paraId="33F89514">
      <w:pPr>
        <w:spacing w:before="28" w:line="219" w:lineRule="auto"/>
        <w:ind w:left="3823"/>
        <w:rPr>
          <w:rFonts w:hint="eastAsia" w:ascii="仿宋" w:hAnsi="仿宋" w:eastAsia="仿宋" w:cs="仿宋"/>
          <w:sz w:val="30"/>
          <w:szCs w:val="30"/>
        </w:rPr>
      </w:pPr>
      <w:r>
        <w:rPr>
          <w:rFonts w:hint="eastAsia" w:ascii="仿宋" w:hAnsi="仿宋" w:eastAsia="仿宋" w:cs="仿宋"/>
          <w:spacing w:val="-2"/>
          <w:sz w:val="30"/>
          <w:szCs w:val="30"/>
        </w:rPr>
        <w:t>报价一览表</w:t>
      </w:r>
    </w:p>
    <w:tbl>
      <w:tblPr>
        <w:tblStyle w:val="61"/>
        <w:tblW w:w="9147" w:type="dxa"/>
        <w:tblInd w:w="-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2047"/>
        <w:gridCol w:w="3039"/>
        <w:gridCol w:w="1667"/>
        <w:gridCol w:w="1586"/>
      </w:tblGrid>
      <w:tr w14:paraId="15D07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808" w:type="dxa"/>
            <w:tcBorders>
              <w:top w:val="single" w:color="000000" w:sz="2" w:space="0"/>
              <w:left w:val="single" w:color="000000" w:sz="2" w:space="0"/>
              <w:bottom w:val="nil"/>
            </w:tcBorders>
            <w:noWrap w:val="0"/>
            <w:textDirection w:val="tbRlV"/>
            <w:vAlign w:val="top"/>
          </w:tcPr>
          <w:p w14:paraId="6D8072DA">
            <w:pPr>
              <w:pStyle w:val="60"/>
              <w:spacing w:before="138" w:line="211" w:lineRule="auto"/>
              <w:ind w:left="75"/>
              <w:rPr>
                <w:rFonts w:hint="eastAsia" w:ascii="仿宋" w:hAnsi="仿宋" w:eastAsia="仿宋" w:cs="仿宋"/>
              </w:rPr>
            </w:pPr>
            <w:r>
              <w:rPr>
                <w:rFonts w:hint="eastAsia" w:ascii="仿宋" w:hAnsi="仿宋" w:eastAsia="仿宋" w:cs="仿宋"/>
                <w:spacing w:val="1"/>
              </w:rPr>
              <w:t>序</w:t>
            </w:r>
            <w:r>
              <w:rPr>
                <w:rFonts w:hint="eastAsia" w:ascii="仿宋" w:hAnsi="仿宋" w:eastAsia="仿宋" w:cs="仿宋"/>
                <w:spacing w:val="91"/>
              </w:rPr>
              <w:t xml:space="preserve"> </w:t>
            </w:r>
            <w:r>
              <w:rPr>
                <w:rFonts w:hint="eastAsia" w:ascii="仿宋" w:hAnsi="仿宋" w:eastAsia="仿宋" w:cs="仿宋"/>
                <w:spacing w:val="1"/>
              </w:rPr>
              <w:t>号</w:t>
            </w:r>
          </w:p>
        </w:tc>
        <w:tc>
          <w:tcPr>
            <w:tcW w:w="2047" w:type="dxa"/>
            <w:tcBorders>
              <w:top w:val="single" w:color="000000" w:sz="2" w:space="0"/>
              <w:bottom w:val="nil"/>
            </w:tcBorders>
            <w:noWrap w:val="0"/>
            <w:vAlign w:val="top"/>
          </w:tcPr>
          <w:p w14:paraId="25C9665B">
            <w:pPr>
              <w:pStyle w:val="60"/>
              <w:spacing w:before="278" w:line="221" w:lineRule="auto"/>
              <w:ind w:left="563"/>
              <w:rPr>
                <w:rFonts w:hint="eastAsia" w:ascii="仿宋" w:hAnsi="仿宋" w:eastAsia="仿宋" w:cs="仿宋"/>
              </w:rPr>
            </w:pPr>
            <w:r>
              <w:rPr>
                <w:rFonts w:hint="eastAsia" w:ascii="仿宋" w:hAnsi="仿宋" w:eastAsia="仿宋" w:cs="仿宋"/>
                <w:spacing w:val="-3"/>
              </w:rPr>
              <w:t>项目名称</w:t>
            </w:r>
          </w:p>
        </w:tc>
        <w:tc>
          <w:tcPr>
            <w:tcW w:w="3039" w:type="dxa"/>
            <w:tcBorders>
              <w:top w:val="single" w:color="000000" w:sz="2" w:space="0"/>
              <w:bottom w:val="nil"/>
            </w:tcBorders>
            <w:noWrap w:val="0"/>
            <w:vAlign w:val="center"/>
          </w:tcPr>
          <w:p w14:paraId="6DAA5D82">
            <w:pPr>
              <w:jc w:val="center"/>
              <w:rPr>
                <w:rFonts w:hint="eastAsia" w:ascii="仿宋" w:hAnsi="仿宋" w:eastAsia="仿宋" w:cs="仿宋"/>
                <w:sz w:val="21"/>
              </w:rPr>
            </w:pPr>
          </w:p>
        </w:tc>
        <w:tc>
          <w:tcPr>
            <w:tcW w:w="1667" w:type="dxa"/>
            <w:tcBorders>
              <w:top w:val="single" w:color="000000" w:sz="2" w:space="0"/>
            </w:tcBorders>
            <w:noWrap w:val="0"/>
            <w:vAlign w:val="center"/>
          </w:tcPr>
          <w:p w14:paraId="4E4CC2FA">
            <w:pPr>
              <w:pStyle w:val="60"/>
              <w:spacing w:before="32" w:line="219" w:lineRule="auto"/>
              <w:ind w:left="161"/>
              <w:jc w:val="center"/>
              <w:rPr>
                <w:rFonts w:hint="eastAsia" w:ascii="仿宋" w:hAnsi="仿宋" w:eastAsia="仿宋" w:cs="仿宋"/>
              </w:rPr>
            </w:pPr>
            <w:r>
              <w:rPr>
                <w:rFonts w:hint="eastAsia" w:ascii="仿宋" w:hAnsi="仿宋" w:eastAsia="仿宋" w:cs="仿宋"/>
                <w:spacing w:val="-1"/>
              </w:rPr>
              <w:t>采购代理编号</w:t>
            </w:r>
          </w:p>
        </w:tc>
        <w:tc>
          <w:tcPr>
            <w:tcW w:w="1586" w:type="dxa"/>
            <w:tcBorders>
              <w:top w:val="single" w:color="000000" w:sz="2" w:space="0"/>
              <w:right w:val="single" w:color="000000" w:sz="2" w:space="0"/>
            </w:tcBorders>
            <w:noWrap w:val="0"/>
            <w:vAlign w:val="center"/>
          </w:tcPr>
          <w:p w14:paraId="05ADFC55">
            <w:pPr>
              <w:jc w:val="center"/>
              <w:rPr>
                <w:rFonts w:hint="eastAsia" w:ascii="仿宋" w:hAnsi="仿宋" w:eastAsia="仿宋" w:cs="仿宋"/>
                <w:sz w:val="21"/>
                <w:lang w:val="en-US" w:eastAsia="zh-CN"/>
              </w:rPr>
            </w:pPr>
          </w:p>
        </w:tc>
      </w:tr>
      <w:tr w14:paraId="0D8B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808" w:type="dxa"/>
            <w:tcBorders>
              <w:left w:val="single" w:color="000000" w:sz="2" w:space="0"/>
            </w:tcBorders>
            <w:noWrap w:val="0"/>
            <w:vAlign w:val="top"/>
          </w:tcPr>
          <w:p w14:paraId="591B197D">
            <w:pPr>
              <w:spacing w:line="353" w:lineRule="auto"/>
              <w:rPr>
                <w:rFonts w:hint="eastAsia" w:ascii="仿宋" w:hAnsi="仿宋" w:eastAsia="仿宋" w:cs="仿宋"/>
                <w:sz w:val="21"/>
              </w:rPr>
            </w:pPr>
          </w:p>
          <w:p w14:paraId="54FC1695">
            <w:pPr>
              <w:pStyle w:val="60"/>
              <w:spacing w:before="69" w:line="183" w:lineRule="auto"/>
              <w:ind w:left="225"/>
              <w:rPr>
                <w:rFonts w:hint="eastAsia" w:ascii="仿宋" w:hAnsi="仿宋" w:eastAsia="仿宋" w:cs="仿宋"/>
              </w:rPr>
            </w:pPr>
            <w:r>
              <w:rPr>
                <w:rFonts w:hint="eastAsia" w:ascii="仿宋" w:hAnsi="仿宋" w:eastAsia="仿宋" w:cs="仿宋"/>
              </w:rPr>
              <w:t>1</w:t>
            </w:r>
          </w:p>
        </w:tc>
        <w:tc>
          <w:tcPr>
            <w:tcW w:w="2047" w:type="dxa"/>
            <w:noWrap w:val="0"/>
            <w:vAlign w:val="top"/>
          </w:tcPr>
          <w:p w14:paraId="6DF7ADA5">
            <w:pPr>
              <w:spacing w:line="320" w:lineRule="auto"/>
              <w:rPr>
                <w:rFonts w:hint="eastAsia" w:ascii="仿宋" w:hAnsi="仿宋" w:eastAsia="仿宋" w:cs="仿宋"/>
                <w:sz w:val="21"/>
              </w:rPr>
            </w:pPr>
          </w:p>
          <w:p w14:paraId="0293EEC3">
            <w:pPr>
              <w:pStyle w:val="60"/>
              <w:spacing w:before="68" w:line="218" w:lineRule="auto"/>
              <w:ind w:left="564"/>
              <w:rPr>
                <w:rFonts w:hint="eastAsia" w:ascii="仿宋" w:hAnsi="仿宋" w:eastAsia="仿宋" w:cs="仿宋"/>
                <w:lang w:eastAsia="zh-CN"/>
              </w:rPr>
            </w:pPr>
            <w:r>
              <w:rPr>
                <w:rFonts w:hint="eastAsia" w:ascii="仿宋" w:hAnsi="仿宋" w:eastAsia="仿宋" w:cs="仿宋"/>
                <w:spacing w:val="-3"/>
                <w:lang w:eastAsia="zh-CN"/>
              </w:rPr>
              <w:t>工期</w:t>
            </w:r>
          </w:p>
        </w:tc>
        <w:tc>
          <w:tcPr>
            <w:tcW w:w="6292" w:type="dxa"/>
            <w:gridSpan w:val="3"/>
            <w:tcBorders>
              <w:right w:val="single" w:color="000000" w:sz="2" w:space="0"/>
            </w:tcBorders>
            <w:noWrap w:val="0"/>
            <w:vAlign w:val="top"/>
          </w:tcPr>
          <w:p w14:paraId="0EDA1324">
            <w:pPr>
              <w:rPr>
                <w:rFonts w:hint="eastAsia" w:ascii="仿宋" w:hAnsi="仿宋" w:eastAsia="仿宋" w:cs="仿宋"/>
                <w:sz w:val="21"/>
              </w:rPr>
            </w:pPr>
          </w:p>
        </w:tc>
      </w:tr>
      <w:tr w14:paraId="553B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08" w:type="dxa"/>
            <w:tcBorders>
              <w:left w:val="single" w:color="000000" w:sz="2" w:space="0"/>
            </w:tcBorders>
            <w:noWrap w:val="0"/>
            <w:vAlign w:val="top"/>
          </w:tcPr>
          <w:p w14:paraId="0A66E117">
            <w:pPr>
              <w:spacing w:line="402" w:lineRule="auto"/>
              <w:rPr>
                <w:rFonts w:hint="eastAsia" w:ascii="仿宋" w:hAnsi="仿宋" w:eastAsia="仿宋" w:cs="仿宋"/>
                <w:sz w:val="21"/>
              </w:rPr>
            </w:pPr>
          </w:p>
          <w:p w14:paraId="65793FCD">
            <w:pPr>
              <w:pStyle w:val="60"/>
              <w:spacing w:before="68" w:line="182" w:lineRule="auto"/>
              <w:ind w:left="212"/>
              <w:rPr>
                <w:rFonts w:hint="eastAsia" w:ascii="仿宋" w:hAnsi="仿宋" w:eastAsia="仿宋" w:cs="仿宋"/>
              </w:rPr>
            </w:pPr>
            <w:r>
              <w:rPr>
                <w:rFonts w:hint="eastAsia" w:ascii="仿宋" w:hAnsi="仿宋" w:eastAsia="仿宋" w:cs="仿宋"/>
              </w:rPr>
              <w:t>2</w:t>
            </w:r>
          </w:p>
        </w:tc>
        <w:tc>
          <w:tcPr>
            <w:tcW w:w="2047" w:type="dxa"/>
            <w:noWrap w:val="0"/>
            <w:vAlign w:val="top"/>
          </w:tcPr>
          <w:p w14:paraId="237BB226">
            <w:pPr>
              <w:spacing w:line="367" w:lineRule="auto"/>
              <w:rPr>
                <w:rFonts w:hint="eastAsia" w:ascii="仿宋" w:hAnsi="仿宋" w:eastAsia="仿宋" w:cs="仿宋"/>
                <w:sz w:val="21"/>
              </w:rPr>
            </w:pPr>
          </w:p>
          <w:p w14:paraId="6894DC46">
            <w:pPr>
              <w:pStyle w:val="60"/>
              <w:spacing w:before="68" w:line="219" w:lineRule="auto"/>
              <w:ind w:left="245"/>
              <w:rPr>
                <w:rFonts w:hint="eastAsia" w:ascii="仿宋" w:hAnsi="仿宋" w:eastAsia="仿宋" w:cs="仿宋"/>
              </w:rPr>
            </w:pPr>
            <w:r>
              <w:rPr>
                <w:rFonts w:hint="eastAsia" w:ascii="仿宋" w:hAnsi="仿宋" w:eastAsia="仿宋" w:cs="仿宋"/>
                <w:spacing w:val="-2"/>
              </w:rPr>
              <w:t>投标报价人民币</w:t>
            </w:r>
          </w:p>
        </w:tc>
        <w:tc>
          <w:tcPr>
            <w:tcW w:w="6292" w:type="dxa"/>
            <w:gridSpan w:val="3"/>
            <w:tcBorders>
              <w:right w:val="single" w:color="000000" w:sz="2" w:space="0"/>
            </w:tcBorders>
            <w:noWrap w:val="0"/>
            <w:vAlign w:val="top"/>
          </w:tcPr>
          <w:p w14:paraId="74DA58FB">
            <w:pPr>
              <w:pStyle w:val="60"/>
              <w:spacing w:before="29" w:line="220" w:lineRule="auto"/>
              <w:ind w:left="112"/>
              <w:rPr>
                <w:rFonts w:hint="eastAsia" w:ascii="仿宋" w:hAnsi="仿宋" w:eastAsia="仿宋" w:cs="仿宋"/>
              </w:rPr>
            </w:pPr>
            <w:r>
              <w:rPr>
                <w:rFonts w:hint="eastAsia" w:ascii="仿宋" w:hAnsi="仿宋" w:eastAsia="仿宋" w:cs="仿宋"/>
                <w:spacing w:val="-14"/>
              </w:rPr>
              <w:t xml:space="preserve">大写： </w:t>
            </w:r>
            <w:r>
              <w:rPr>
                <w:rFonts w:hint="eastAsia" w:ascii="仿宋" w:hAnsi="仿宋" w:eastAsia="仿宋" w:cs="仿宋"/>
                <w:u w:val="single" w:color="auto"/>
              </w:rPr>
              <w:t xml:space="preserve">                    </w:t>
            </w:r>
            <w:r>
              <w:rPr>
                <w:rFonts w:hint="eastAsia" w:ascii="仿宋" w:hAnsi="仿宋" w:eastAsia="仿宋" w:cs="仿宋"/>
                <w:spacing w:val="-93"/>
              </w:rPr>
              <w:t xml:space="preserve"> </w:t>
            </w:r>
            <w:r>
              <w:rPr>
                <w:rFonts w:hint="eastAsia" w:ascii="仿宋" w:hAnsi="仿宋" w:eastAsia="仿宋" w:cs="仿宋"/>
                <w:spacing w:val="-14"/>
              </w:rPr>
              <w:t>元人民币整</w:t>
            </w:r>
          </w:p>
          <w:p w14:paraId="5692F6DD">
            <w:pPr>
              <w:spacing w:line="248" w:lineRule="auto"/>
              <w:rPr>
                <w:rFonts w:hint="eastAsia" w:ascii="仿宋" w:hAnsi="仿宋" w:eastAsia="仿宋" w:cs="仿宋"/>
                <w:sz w:val="21"/>
              </w:rPr>
            </w:pPr>
          </w:p>
          <w:p w14:paraId="55C79315">
            <w:pPr>
              <w:pStyle w:val="60"/>
              <w:spacing w:before="68" w:line="220" w:lineRule="auto"/>
              <w:ind w:left="115"/>
              <w:rPr>
                <w:rFonts w:hint="eastAsia" w:ascii="仿宋" w:hAnsi="仿宋" w:eastAsia="仿宋" w:cs="仿宋"/>
              </w:rPr>
            </w:pPr>
            <w:r>
              <w:rPr>
                <w:rFonts w:hint="eastAsia" w:ascii="仿宋" w:hAnsi="仿宋" w:eastAsia="仿宋" w:cs="仿宋"/>
                <w:spacing w:val="-15"/>
              </w:rPr>
              <w:t xml:space="preserve">小写： </w:t>
            </w:r>
            <w:r>
              <w:rPr>
                <w:rFonts w:hint="eastAsia" w:ascii="仿宋" w:hAnsi="仿宋" w:eastAsia="仿宋" w:cs="仿宋"/>
                <w:u w:val="single" w:color="auto"/>
              </w:rPr>
              <w:t xml:space="preserve">                    </w:t>
            </w:r>
            <w:r>
              <w:rPr>
                <w:rFonts w:hint="eastAsia" w:ascii="仿宋" w:hAnsi="仿宋" w:eastAsia="仿宋" w:cs="仿宋"/>
                <w:spacing w:val="-87"/>
              </w:rPr>
              <w:t xml:space="preserve"> </w:t>
            </w:r>
            <w:r>
              <w:rPr>
                <w:rFonts w:hint="eastAsia" w:ascii="仿宋" w:hAnsi="仿宋" w:eastAsia="仿宋" w:cs="仿宋"/>
                <w:spacing w:val="-15"/>
              </w:rPr>
              <w:t>元人民币整</w:t>
            </w:r>
          </w:p>
        </w:tc>
      </w:tr>
      <w:tr w14:paraId="24FB7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08" w:type="dxa"/>
            <w:tcBorders>
              <w:left w:val="single" w:color="000000" w:sz="2" w:space="0"/>
              <w:bottom w:val="single" w:color="000000" w:sz="2" w:space="0"/>
            </w:tcBorders>
            <w:noWrap w:val="0"/>
            <w:vAlign w:val="top"/>
          </w:tcPr>
          <w:p w14:paraId="40A12BC0">
            <w:pPr>
              <w:pStyle w:val="60"/>
              <w:spacing w:before="71" w:line="182" w:lineRule="auto"/>
              <w:ind w:left="213"/>
              <w:rPr>
                <w:rFonts w:hint="eastAsia" w:ascii="仿宋" w:hAnsi="仿宋" w:eastAsia="仿宋" w:cs="仿宋"/>
              </w:rPr>
            </w:pPr>
            <w:r>
              <w:rPr>
                <w:rFonts w:hint="eastAsia" w:ascii="仿宋" w:hAnsi="仿宋" w:eastAsia="仿宋" w:cs="仿宋"/>
              </w:rPr>
              <w:t>3</w:t>
            </w:r>
          </w:p>
        </w:tc>
        <w:tc>
          <w:tcPr>
            <w:tcW w:w="2047" w:type="dxa"/>
            <w:tcBorders>
              <w:bottom w:val="single" w:color="000000" w:sz="2" w:space="0"/>
            </w:tcBorders>
            <w:noWrap w:val="0"/>
            <w:vAlign w:val="top"/>
          </w:tcPr>
          <w:p w14:paraId="476DC9EE">
            <w:pPr>
              <w:pStyle w:val="60"/>
              <w:spacing w:before="36" w:line="222" w:lineRule="auto"/>
              <w:ind w:left="665"/>
              <w:rPr>
                <w:rFonts w:hint="eastAsia" w:ascii="仿宋" w:hAnsi="仿宋" w:eastAsia="仿宋" w:cs="仿宋"/>
              </w:rPr>
            </w:pPr>
            <w:r>
              <w:rPr>
                <w:rFonts w:hint="eastAsia" w:ascii="仿宋" w:hAnsi="仿宋" w:eastAsia="仿宋" w:cs="仿宋"/>
                <w:spacing w:val="-5"/>
              </w:rPr>
              <w:t>备</w:t>
            </w:r>
            <w:r>
              <w:rPr>
                <w:rFonts w:hint="eastAsia" w:ascii="仿宋" w:hAnsi="仿宋" w:eastAsia="仿宋" w:cs="仿宋"/>
                <w:spacing w:val="4"/>
              </w:rPr>
              <w:t xml:space="preserve">  </w:t>
            </w:r>
            <w:r>
              <w:rPr>
                <w:rFonts w:hint="eastAsia" w:ascii="仿宋" w:hAnsi="仿宋" w:eastAsia="仿宋" w:cs="仿宋"/>
                <w:spacing w:val="-5"/>
              </w:rPr>
              <w:t>注</w:t>
            </w:r>
          </w:p>
        </w:tc>
        <w:tc>
          <w:tcPr>
            <w:tcW w:w="6292" w:type="dxa"/>
            <w:gridSpan w:val="3"/>
            <w:tcBorders>
              <w:bottom w:val="single" w:color="000000" w:sz="2" w:space="0"/>
              <w:right w:val="single" w:color="000000" w:sz="2" w:space="0"/>
            </w:tcBorders>
            <w:noWrap w:val="0"/>
            <w:vAlign w:val="top"/>
          </w:tcPr>
          <w:p w14:paraId="5A7D4148">
            <w:pPr>
              <w:rPr>
                <w:rFonts w:hint="eastAsia" w:ascii="仿宋" w:hAnsi="仿宋" w:eastAsia="仿宋" w:cs="仿宋"/>
                <w:sz w:val="21"/>
              </w:rPr>
            </w:pPr>
          </w:p>
        </w:tc>
      </w:tr>
    </w:tbl>
    <w:p w14:paraId="64DC8619">
      <w:pPr>
        <w:pStyle w:val="11"/>
        <w:spacing w:before="69" w:line="220" w:lineRule="auto"/>
        <w:ind w:left="37"/>
        <w:rPr>
          <w:rFonts w:hint="eastAsia" w:ascii="仿宋" w:hAnsi="仿宋" w:eastAsia="仿宋" w:cs="仿宋"/>
          <w:spacing w:val="-9"/>
          <w:sz w:val="21"/>
          <w:szCs w:val="21"/>
        </w:rPr>
      </w:pPr>
    </w:p>
    <w:p w14:paraId="02C0CFE0">
      <w:pPr>
        <w:pStyle w:val="11"/>
        <w:spacing w:before="69" w:line="220" w:lineRule="auto"/>
        <w:ind w:left="37"/>
        <w:rPr>
          <w:rFonts w:hint="eastAsia" w:ascii="仿宋" w:hAnsi="仿宋" w:eastAsia="仿宋" w:cs="仿宋"/>
          <w:spacing w:val="-9"/>
          <w:sz w:val="21"/>
          <w:szCs w:val="21"/>
        </w:rPr>
      </w:pPr>
    </w:p>
    <w:p w14:paraId="6AE2CA47">
      <w:pPr>
        <w:pStyle w:val="11"/>
        <w:spacing w:before="69" w:line="220" w:lineRule="auto"/>
        <w:ind w:left="37"/>
        <w:rPr>
          <w:rFonts w:hint="eastAsia" w:ascii="仿宋" w:hAnsi="仿宋" w:eastAsia="仿宋" w:cs="仿宋"/>
          <w:spacing w:val="-9"/>
          <w:sz w:val="21"/>
          <w:szCs w:val="21"/>
        </w:rPr>
      </w:pPr>
    </w:p>
    <w:p w14:paraId="6F7198E2">
      <w:pPr>
        <w:pStyle w:val="11"/>
        <w:spacing w:before="69" w:line="220" w:lineRule="auto"/>
        <w:ind w:left="37"/>
        <w:rPr>
          <w:rFonts w:hint="eastAsia" w:ascii="仿宋" w:hAnsi="仿宋" w:eastAsia="仿宋" w:cs="仿宋"/>
          <w:sz w:val="24"/>
          <w:szCs w:val="24"/>
        </w:rPr>
      </w:pPr>
      <w:r>
        <w:rPr>
          <w:rFonts w:hint="eastAsia" w:ascii="仿宋" w:hAnsi="仿宋" w:eastAsia="仿宋" w:cs="仿宋"/>
          <w:spacing w:val="-9"/>
          <w:sz w:val="24"/>
          <w:szCs w:val="24"/>
        </w:rPr>
        <w:t>供应商（盖单位章</w:t>
      </w:r>
      <w:r>
        <w:rPr>
          <w:rFonts w:hint="eastAsia" w:ascii="仿宋" w:hAnsi="仿宋" w:eastAsia="仿宋" w:cs="仿宋"/>
          <w:spacing w:val="3"/>
          <w:sz w:val="24"/>
          <w:szCs w:val="24"/>
        </w:rPr>
        <w:t>）</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w:t>
      </w:r>
    </w:p>
    <w:p w14:paraId="68B7254A">
      <w:pPr>
        <w:pStyle w:val="11"/>
        <w:spacing w:before="157" w:line="359" w:lineRule="auto"/>
        <w:ind w:left="37"/>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法定代表人或其委托代理人签字：</w:t>
      </w:r>
      <w:r>
        <w:rPr>
          <w:rFonts w:hint="eastAsia" w:ascii="仿宋" w:hAnsi="仿宋" w:eastAsia="仿宋" w:cs="仿宋"/>
          <w:spacing w:val="-1"/>
          <w:sz w:val="24"/>
          <w:szCs w:val="24"/>
          <w:u w:val="single" w:color="auto"/>
        </w:rPr>
        <w:t xml:space="preserve">       </w:t>
      </w:r>
    </w:p>
    <w:p w14:paraId="15C7040D">
      <w:pPr>
        <w:pStyle w:val="11"/>
        <w:spacing w:before="1" w:line="220" w:lineRule="auto"/>
        <w:ind w:left="73"/>
        <w:rPr>
          <w:rFonts w:hint="eastAsia" w:ascii="仿宋" w:hAnsi="仿宋" w:eastAsia="仿宋" w:cs="仿宋"/>
          <w:sz w:val="24"/>
          <w:szCs w:val="24"/>
        </w:rPr>
      </w:pPr>
      <w:r>
        <w:rPr>
          <w:rFonts w:hint="eastAsia" w:ascii="仿宋" w:hAnsi="仿宋" w:eastAsia="仿宋" w:cs="仿宋"/>
          <w:spacing w:val="-26"/>
          <w:sz w:val="24"/>
          <w:szCs w:val="24"/>
        </w:rPr>
        <w:t>日期：</w:t>
      </w:r>
      <w:r>
        <w:rPr>
          <w:rFonts w:hint="eastAsia" w:ascii="仿宋" w:hAnsi="仿宋" w:eastAsia="仿宋" w:cs="仿宋"/>
          <w:spacing w:val="-14"/>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95"/>
          <w:sz w:val="24"/>
          <w:szCs w:val="24"/>
        </w:rPr>
        <w:t xml:space="preserve"> </w:t>
      </w:r>
      <w:r>
        <w:rPr>
          <w:rFonts w:hint="eastAsia" w:ascii="仿宋" w:hAnsi="仿宋" w:eastAsia="仿宋" w:cs="仿宋"/>
          <w:spacing w:val="-26"/>
          <w:sz w:val="24"/>
          <w:szCs w:val="24"/>
        </w:rPr>
        <w:t>年</w:t>
      </w:r>
      <w:r>
        <w:rPr>
          <w:rFonts w:hint="eastAsia" w:ascii="仿宋" w:hAnsi="仿宋" w:eastAsia="仿宋" w:cs="仿宋"/>
          <w:spacing w:val="34"/>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26"/>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1"/>
          <w:sz w:val="24"/>
          <w:szCs w:val="24"/>
        </w:rPr>
        <w:t xml:space="preserve"> </w:t>
      </w:r>
      <w:r>
        <w:rPr>
          <w:rFonts w:hint="eastAsia" w:ascii="仿宋" w:hAnsi="仿宋" w:eastAsia="仿宋" w:cs="仿宋"/>
          <w:spacing w:val="-26"/>
          <w:sz w:val="24"/>
          <w:szCs w:val="24"/>
        </w:rPr>
        <w:t>日</w:t>
      </w:r>
    </w:p>
    <w:p w14:paraId="73273662">
      <w:pPr>
        <w:pStyle w:val="44"/>
        <w:numPr>
          <w:ilvl w:val="0"/>
          <w:numId w:val="0"/>
        </w:numPr>
        <w:ind w:leftChars="0"/>
        <w:rPr>
          <w:rFonts w:hint="eastAsia" w:ascii="黑体" w:hAnsi="黑体" w:eastAsia="黑体" w:cs="黑体"/>
          <w:spacing w:val="-1"/>
          <w:sz w:val="31"/>
          <w:szCs w:val="31"/>
          <w:lang w:eastAsia="zh-CN"/>
        </w:rPr>
      </w:pPr>
    </w:p>
    <w:p w14:paraId="5CEC6673">
      <w:pPr>
        <w:pStyle w:val="44"/>
        <w:numPr>
          <w:ilvl w:val="0"/>
          <w:numId w:val="0"/>
        </w:numPr>
        <w:ind w:leftChars="0"/>
        <w:rPr>
          <w:rFonts w:hint="eastAsia" w:ascii="黑体" w:hAnsi="黑体" w:eastAsia="黑体" w:cs="黑体"/>
          <w:spacing w:val="-1"/>
          <w:sz w:val="31"/>
          <w:szCs w:val="31"/>
          <w:lang w:eastAsia="zh-CN"/>
        </w:rPr>
      </w:pPr>
    </w:p>
    <w:p w14:paraId="4E16EB31">
      <w:pPr>
        <w:pStyle w:val="44"/>
        <w:numPr>
          <w:ilvl w:val="0"/>
          <w:numId w:val="0"/>
        </w:numPr>
        <w:ind w:leftChars="0"/>
        <w:rPr>
          <w:rFonts w:hint="eastAsia" w:ascii="黑体" w:hAnsi="黑体" w:eastAsia="黑体" w:cs="黑体"/>
          <w:spacing w:val="-1"/>
          <w:sz w:val="31"/>
          <w:szCs w:val="31"/>
          <w:lang w:eastAsia="zh-CN"/>
        </w:rPr>
      </w:pPr>
    </w:p>
    <w:p w14:paraId="3040592B">
      <w:pPr>
        <w:pStyle w:val="44"/>
        <w:numPr>
          <w:ilvl w:val="0"/>
          <w:numId w:val="0"/>
        </w:numPr>
        <w:ind w:leftChars="0"/>
        <w:rPr>
          <w:rFonts w:hint="eastAsia" w:ascii="黑体" w:hAnsi="黑体" w:eastAsia="黑体" w:cs="黑体"/>
          <w:spacing w:val="-1"/>
          <w:sz w:val="31"/>
          <w:szCs w:val="31"/>
          <w:lang w:eastAsia="zh-CN"/>
        </w:rPr>
      </w:pPr>
    </w:p>
    <w:p w14:paraId="42E617B9">
      <w:pPr>
        <w:pStyle w:val="44"/>
        <w:numPr>
          <w:ilvl w:val="0"/>
          <w:numId w:val="0"/>
        </w:numPr>
        <w:ind w:leftChars="0"/>
        <w:rPr>
          <w:rFonts w:hint="eastAsia" w:ascii="黑体" w:hAnsi="黑体" w:eastAsia="黑体" w:cs="黑体"/>
          <w:spacing w:val="-1"/>
          <w:sz w:val="31"/>
          <w:szCs w:val="31"/>
          <w:lang w:eastAsia="zh-CN"/>
        </w:rPr>
      </w:pPr>
    </w:p>
    <w:p w14:paraId="178DE96A">
      <w:pPr>
        <w:pStyle w:val="44"/>
        <w:numPr>
          <w:ilvl w:val="0"/>
          <w:numId w:val="0"/>
        </w:numPr>
        <w:ind w:leftChars="0"/>
        <w:rPr>
          <w:rFonts w:hint="eastAsia" w:ascii="黑体" w:hAnsi="黑体" w:eastAsia="黑体" w:cs="黑体"/>
          <w:spacing w:val="-1"/>
          <w:sz w:val="31"/>
          <w:szCs w:val="31"/>
          <w:lang w:eastAsia="zh-CN"/>
        </w:rPr>
      </w:pPr>
    </w:p>
    <w:p w14:paraId="71C9ABA0">
      <w:pPr>
        <w:pStyle w:val="44"/>
        <w:numPr>
          <w:ilvl w:val="0"/>
          <w:numId w:val="0"/>
        </w:numPr>
        <w:ind w:leftChars="0"/>
        <w:rPr>
          <w:rFonts w:hint="eastAsia" w:ascii="黑体" w:hAnsi="黑体" w:eastAsia="黑体" w:cs="黑体"/>
          <w:spacing w:val="-1"/>
          <w:sz w:val="31"/>
          <w:szCs w:val="31"/>
          <w:lang w:eastAsia="zh-CN"/>
        </w:rPr>
      </w:pPr>
    </w:p>
    <w:p w14:paraId="2EC37379">
      <w:pPr>
        <w:spacing w:before="262" w:line="222" w:lineRule="auto"/>
        <w:ind w:left="56"/>
        <w:rPr>
          <w:rFonts w:hint="eastAsia" w:ascii="黑体" w:hAnsi="黑体" w:eastAsia="仿宋" w:cs="黑体"/>
          <w:sz w:val="30"/>
          <w:szCs w:val="30"/>
          <w:lang w:val="en-US" w:eastAsia="zh-CN"/>
        </w:rPr>
      </w:pPr>
      <w:r>
        <w:rPr>
          <w:rFonts w:hint="eastAsia" w:ascii="仿宋" w:hAnsi="仿宋" w:eastAsia="仿宋" w:cs="仿宋"/>
          <w:b/>
          <w:bCs/>
          <w:spacing w:val="-1"/>
          <w:sz w:val="24"/>
          <w:szCs w:val="24"/>
        </w:rPr>
        <w:t>附件</w:t>
      </w:r>
      <w:r>
        <w:rPr>
          <w:rFonts w:hint="eastAsia" w:ascii="仿宋" w:hAnsi="仿宋" w:eastAsia="仿宋" w:cs="仿宋"/>
          <w:b/>
          <w:bCs/>
          <w:spacing w:val="-70"/>
          <w:sz w:val="24"/>
          <w:szCs w:val="24"/>
        </w:rPr>
        <w:t xml:space="preserve"> </w:t>
      </w:r>
      <w:r>
        <w:rPr>
          <w:rFonts w:hint="eastAsia" w:ascii="仿宋" w:hAnsi="仿宋" w:eastAsia="仿宋" w:cs="仿宋"/>
          <w:b/>
          <w:bCs/>
          <w:spacing w:val="-1"/>
          <w:sz w:val="24"/>
          <w:szCs w:val="24"/>
          <w:lang w:val="en-US" w:eastAsia="zh-CN"/>
        </w:rPr>
        <w:t>9</w:t>
      </w:r>
      <w:r>
        <w:rPr>
          <w:rFonts w:hint="eastAsia" w:ascii="仿宋" w:hAnsi="仿宋" w:eastAsia="仿宋" w:cs="仿宋"/>
          <w:b/>
          <w:bCs/>
          <w:spacing w:val="-1"/>
          <w:sz w:val="24"/>
          <w:szCs w:val="24"/>
        </w:rPr>
        <w:t>-</w:t>
      </w:r>
      <w:r>
        <w:rPr>
          <w:rFonts w:hint="eastAsia" w:ascii="仿宋" w:hAnsi="仿宋" w:eastAsia="仿宋" w:cs="仿宋"/>
          <w:b/>
          <w:bCs/>
          <w:spacing w:val="-1"/>
          <w:sz w:val="24"/>
          <w:szCs w:val="24"/>
          <w:lang w:val="en-US" w:eastAsia="zh-CN"/>
        </w:rPr>
        <w:t>2</w:t>
      </w:r>
    </w:p>
    <w:p w14:paraId="0012962F">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bookmarkStart w:id="207" w:name="_Toc20959"/>
      <w:bookmarkStart w:id="208" w:name="_Toc12753"/>
      <w:r>
        <w:rPr>
          <w:rFonts w:hint="eastAsia" w:ascii="黑体" w:hAnsi="黑体" w:eastAsia="黑体" w:cs="黑体"/>
          <w:spacing w:val="-3"/>
          <w:sz w:val="30"/>
          <w:szCs w:val="30"/>
          <w:lang w:eastAsia="zh-CN"/>
        </w:rPr>
        <w:t>清单报价</w:t>
      </w:r>
    </w:p>
    <w:p w14:paraId="69A7AA52">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1989AECC">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3D2F462F">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542D0677">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25A0E208">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55C5888E">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42D20834">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5409E983">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6D41064A">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41B7CDB4">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3116C35A">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501CA09C">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46A958A2">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21CBB921">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13B49416">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51959AC3">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5D4FAD76">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2E37F424">
      <w:pPr>
        <w:keepNext w:val="0"/>
        <w:keepLines w:val="0"/>
        <w:pageBreakBefore w:val="0"/>
        <w:widowControl w:val="0"/>
        <w:numPr>
          <w:ilvl w:val="0"/>
          <w:numId w:val="0"/>
        </w:numPr>
        <w:kinsoku/>
        <w:wordWrap/>
        <w:overflowPunct/>
        <w:topLinePunct w:val="0"/>
        <w:autoSpaceDE/>
        <w:autoSpaceDN/>
        <w:bidi w:val="0"/>
        <w:adjustRightInd w:val="0"/>
        <w:snapToGrid w:val="0"/>
        <w:spacing w:before="100"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2886254F">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jc w:val="center"/>
        <w:textAlignment w:val="auto"/>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lang w:val="en-US" w:eastAsia="zh-CN"/>
        </w:rPr>
        <w:t>十、最后报价</w:t>
      </w:r>
      <w:r>
        <w:rPr>
          <w:rFonts w:hint="eastAsia" w:ascii="仿宋" w:hAnsi="仿宋" w:eastAsia="仿宋" w:cs="仿宋"/>
          <w:b/>
          <w:bCs/>
          <w:color w:val="auto"/>
          <w:sz w:val="32"/>
          <w:szCs w:val="32"/>
          <w:highlight w:val="none"/>
        </w:rPr>
        <w:t>表</w:t>
      </w:r>
    </w:p>
    <w:p w14:paraId="277577EA">
      <w:pPr>
        <w:rPr>
          <w:rFonts w:hint="eastAsia" w:ascii="仿宋" w:hAnsi="仿宋" w:eastAsia="仿宋" w:cs="仿宋"/>
          <w:color w:val="auto"/>
          <w:highlight w:val="none"/>
          <w:lang w:val="en-US" w:eastAsia="zh-CN"/>
        </w:rPr>
      </w:pPr>
    </w:p>
    <w:p w14:paraId="75A4EF51">
      <w:pPr>
        <w:pStyle w:val="4"/>
        <w:bidi w:val="0"/>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附件10-1 报价表</w:t>
      </w:r>
    </w:p>
    <w:p w14:paraId="6F9CC861">
      <w:pPr>
        <w:spacing w:before="28" w:line="219" w:lineRule="auto"/>
        <w:ind w:left="3823"/>
        <w:rPr>
          <w:rFonts w:hint="eastAsia" w:ascii="仿宋" w:hAnsi="仿宋" w:eastAsia="仿宋" w:cs="仿宋"/>
          <w:sz w:val="30"/>
          <w:szCs w:val="30"/>
        </w:rPr>
      </w:pPr>
      <w:r>
        <w:rPr>
          <w:rFonts w:hint="eastAsia" w:ascii="仿宋" w:hAnsi="仿宋" w:eastAsia="仿宋" w:cs="仿宋"/>
          <w:spacing w:val="-2"/>
          <w:sz w:val="30"/>
          <w:szCs w:val="30"/>
        </w:rPr>
        <w:t>报价一览表</w:t>
      </w:r>
    </w:p>
    <w:tbl>
      <w:tblPr>
        <w:tblStyle w:val="61"/>
        <w:tblW w:w="9147" w:type="dxa"/>
        <w:tblInd w:w="-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2047"/>
        <w:gridCol w:w="3039"/>
        <w:gridCol w:w="1667"/>
        <w:gridCol w:w="1586"/>
      </w:tblGrid>
      <w:tr w14:paraId="50D83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808" w:type="dxa"/>
            <w:tcBorders>
              <w:top w:val="single" w:color="000000" w:sz="2" w:space="0"/>
              <w:left w:val="single" w:color="000000" w:sz="2" w:space="0"/>
              <w:bottom w:val="nil"/>
            </w:tcBorders>
            <w:noWrap w:val="0"/>
            <w:textDirection w:val="tbRlV"/>
            <w:vAlign w:val="top"/>
          </w:tcPr>
          <w:p w14:paraId="34C822B1">
            <w:pPr>
              <w:pStyle w:val="60"/>
              <w:spacing w:before="138" w:line="211" w:lineRule="auto"/>
              <w:ind w:left="75"/>
              <w:rPr>
                <w:rFonts w:hint="eastAsia" w:ascii="仿宋" w:hAnsi="仿宋" w:eastAsia="仿宋" w:cs="仿宋"/>
              </w:rPr>
            </w:pPr>
            <w:r>
              <w:rPr>
                <w:rFonts w:hint="eastAsia" w:ascii="仿宋" w:hAnsi="仿宋" w:eastAsia="仿宋" w:cs="仿宋"/>
                <w:spacing w:val="1"/>
              </w:rPr>
              <w:t>序</w:t>
            </w:r>
            <w:r>
              <w:rPr>
                <w:rFonts w:hint="eastAsia" w:ascii="仿宋" w:hAnsi="仿宋" w:eastAsia="仿宋" w:cs="仿宋"/>
                <w:spacing w:val="91"/>
              </w:rPr>
              <w:t xml:space="preserve"> </w:t>
            </w:r>
            <w:r>
              <w:rPr>
                <w:rFonts w:hint="eastAsia" w:ascii="仿宋" w:hAnsi="仿宋" w:eastAsia="仿宋" w:cs="仿宋"/>
                <w:spacing w:val="1"/>
              </w:rPr>
              <w:t>号</w:t>
            </w:r>
          </w:p>
        </w:tc>
        <w:tc>
          <w:tcPr>
            <w:tcW w:w="2047" w:type="dxa"/>
            <w:tcBorders>
              <w:top w:val="single" w:color="000000" w:sz="2" w:space="0"/>
              <w:bottom w:val="nil"/>
            </w:tcBorders>
            <w:noWrap w:val="0"/>
            <w:vAlign w:val="top"/>
          </w:tcPr>
          <w:p w14:paraId="471BF67E">
            <w:pPr>
              <w:pStyle w:val="60"/>
              <w:spacing w:before="278" w:line="221" w:lineRule="auto"/>
              <w:ind w:left="563"/>
              <w:rPr>
                <w:rFonts w:hint="eastAsia" w:ascii="仿宋" w:hAnsi="仿宋" w:eastAsia="仿宋" w:cs="仿宋"/>
              </w:rPr>
            </w:pPr>
            <w:r>
              <w:rPr>
                <w:rFonts w:hint="eastAsia" w:ascii="仿宋" w:hAnsi="仿宋" w:eastAsia="仿宋" w:cs="仿宋"/>
                <w:spacing w:val="-3"/>
              </w:rPr>
              <w:t>项目名称</w:t>
            </w:r>
          </w:p>
        </w:tc>
        <w:tc>
          <w:tcPr>
            <w:tcW w:w="3039" w:type="dxa"/>
            <w:tcBorders>
              <w:top w:val="single" w:color="000000" w:sz="2" w:space="0"/>
              <w:bottom w:val="nil"/>
            </w:tcBorders>
            <w:noWrap w:val="0"/>
            <w:vAlign w:val="center"/>
          </w:tcPr>
          <w:p w14:paraId="1FDB0C31">
            <w:pPr>
              <w:jc w:val="center"/>
              <w:rPr>
                <w:rFonts w:hint="eastAsia" w:ascii="仿宋" w:hAnsi="仿宋" w:eastAsia="仿宋" w:cs="仿宋"/>
                <w:sz w:val="21"/>
              </w:rPr>
            </w:pPr>
          </w:p>
        </w:tc>
        <w:tc>
          <w:tcPr>
            <w:tcW w:w="1667" w:type="dxa"/>
            <w:tcBorders>
              <w:top w:val="single" w:color="000000" w:sz="2" w:space="0"/>
            </w:tcBorders>
            <w:noWrap w:val="0"/>
            <w:vAlign w:val="center"/>
          </w:tcPr>
          <w:p w14:paraId="45D48943">
            <w:pPr>
              <w:pStyle w:val="60"/>
              <w:spacing w:before="32" w:line="219" w:lineRule="auto"/>
              <w:ind w:left="161"/>
              <w:jc w:val="center"/>
              <w:rPr>
                <w:rFonts w:hint="eastAsia" w:ascii="仿宋" w:hAnsi="仿宋" w:eastAsia="仿宋" w:cs="仿宋"/>
              </w:rPr>
            </w:pPr>
            <w:r>
              <w:rPr>
                <w:rFonts w:hint="eastAsia" w:ascii="仿宋" w:hAnsi="仿宋" w:eastAsia="仿宋" w:cs="仿宋"/>
                <w:spacing w:val="-1"/>
              </w:rPr>
              <w:t>采购代理编号</w:t>
            </w:r>
          </w:p>
        </w:tc>
        <w:tc>
          <w:tcPr>
            <w:tcW w:w="1586" w:type="dxa"/>
            <w:tcBorders>
              <w:top w:val="single" w:color="000000" w:sz="2" w:space="0"/>
              <w:right w:val="single" w:color="000000" w:sz="2" w:space="0"/>
            </w:tcBorders>
            <w:noWrap w:val="0"/>
            <w:vAlign w:val="center"/>
          </w:tcPr>
          <w:p w14:paraId="47CC80A8">
            <w:pPr>
              <w:jc w:val="center"/>
              <w:rPr>
                <w:rFonts w:hint="eastAsia" w:ascii="仿宋" w:hAnsi="仿宋" w:eastAsia="仿宋" w:cs="仿宋"/>
                <w:sz w:val="21"/>
                <w:lang w:val="en-US" w:eastAsia="zh-CN"/>
              </w:rPr>
            </w:pPr>
          </w:p>
        </w:tc>
      </w:tr>
      <w:tr w14:paraId="07BEF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808" w:type="dxa"/>
            <w:tcBorders>
              <w:left w:val="single" w:color="000000" w:sz="2" w:space="0"/>
            </w:tcBorders>
            <w:noWrap w:val="0"/>
            <w:vAlign w:val="top"/>
          </w:tcPr>
          <w:p w14:paraId="39652AEB">
            <w:pPr>
              <w:spacing w:line="353" w:lineRule="auto"/>
              <w:rPr>
                <w:rFonts w:hint="eastAsia" w:ascii="仿宋" w:hAnsi="仿宋" w:eastAsia="仿宋" w:cs="仿宋"/>
                <w:sz w:val="21"/>
              </w:rPr>
            </w:pPr>
          </w:p>
          <w:p w14:paraId="0E966518">
            <w:pPr>
              <w:pStyle w:val="60"/>
              <w:spacing w:before="69" w:line="183" w:lineRule="auto"/>
              <w:ind w:left="225"/>
              <w:rPr>
                <w:rFonts w:hint="eastAsia" w:ascii="仿宋" w:hAnsi="仿宋" w:eastAsia="仿宋" w:cs="仿宋"/>
              </w:rPr>
            </w:pPr>
            <w:r>
              <w:rPr>
                <w:rFonts w:hint="eastAsia" w:ascii="仿宋" w:hAnsi="仿宋" w:eastAsia="仿宋" w:cs="仿宋"/>
              </w:rPr>
              <w:t>1</w:t>
            </w:r>
          </w:p>
        </w:tc>
        <w:tc>
          <w:tcPr>
            <w:tcW w:w="2047" w:type="dxa"/>
            <w:noWrap w:val="0"/>
            <w:vAlign w:val="top"/>
          </w:tcPr>
          <w:p w14:paraId="156D95A5">
            <w:pPr>
              <w:spacing w:line="320" w:lineRule="auto"/>
              <w:rPr>
                <w:rFonts w:hint="eastAsia" w:ascii="仿宋" w:hAnsi="仿宋" w:eastAsia="仿宋" w:cs="仿宋"/>
                <w:sz w:val="21"/>
              </w:rPr>
            </w:pPr>
          </w:p>
          <w:p w14:paraId="4FCDBE11">
            <w:pPr>
              <w:pStyle w:val="60"/>
              <w:spacing w:before="68" w:line="218" w:lineRule="auto"/>
              <w:ind w:left="564"/>
              <w:rPr>
                <w:rFonts w:hint="eastAsia" w:ascii="仿宋" w:hAnsi="仿宋" w:eastAsia="仿宋" w:cs="仿宋"/>
              </w:rPr>
            </w:pPr>
            <w:r>
              <w:rPr>
                <w:rFonts w:hint="eastAsia" w:ascii="仿宋" w:hAnsi="仿宋" w:eastAsia="仿宋" w:cs="仿宋"/>
                <w:spacing w:val="-3"/>
                <w:lang w:eastAsia="zh-CN"/>
              </w:rPr>
              <w:t>工期</w:t>
            </w:r>
          </w:p>
        </w:tc>
        <w:tc>
          <w:tcPr>
            <w:tcW w:w="6292" w:type="dxa"/>
            <w:gridSpan w:val="3"/>
            <w:tcBorders>
              <w:right w:val="single" w:color="000000" w:sz="2" w:space="0"/>
            </w:tcBorders>
            <w:noWrap w:val="0"/>
            <w:vAlign w:val="top"/>
          </w:tcPr>
          <w:p w14:paraId="44E43C07">
            <w:pPr>
              <w:rPr>
                <w:rFonts w:hint="eastAsia" w:ascii="仿宋" w:hAnsi="仿宋" w:eastAsia="仿宋" w:cs="仿宋"/>
                <w:sz w:val="21"/>
              </w:rPr>
            </w:pPr>
          </w:p>
        </w:tc>
      </w:tr>
      <w:tr w14:paraId="273EF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08" w:type="dxa"/>
            <w:tcBorders>
              <w:left w:val="single" w:color="000000" w:sz="2" w:space="0"/>
            </w:tcBorders>
            <w:noWrap w:val="0"/>
            <w:vAlign w:val="top"/>
          </w:tcPr>
          <w:p w14:paraId="2CD24FA4">
            <w:pPr>
              <w:spacing w:line="402" w:lineRule="auto"/>
              <w:rPr>
                <w:rFonts w:hint="eastAsia" w:ascii="仿宋" w:hAnsi="仿宋" w:eastAsia="仿宋" w:cs="仿宋"/>
                <w:sz w:val="21"/>
              </w:rPr>
            </w:pPr>
          </w:p>
          <w:p w14:paraId="28548068">
            <w:pPr>
              <w:pStyle w:val="60"/>
              <w:spacing w:before="68" w:line="182" w:lineRule="auto"/>
              <w:ind w:left="212"/>
              <w:rPr>
                <w:rFonts w:hint="eastAsia" w:ascii="仿宋" w:hAnsi="仿宋" w:eastAsia="仿宋" w:cs="仿宋"/>
              </w:rPr>
            </w:pPr>
            <w:r>
              <w:rPr>
                <w:rFonts w:hint="eastAsia" w:ascii="仿宋" w:hAnsi="仿宋" w:eastAsia="仿宋" w:cs="仿宋"/>
              </w:rPr>
              <w:t>2</w:t>
            </w:r>
          </w:p>
        </w:tc>
        <w:tc>
          <w:tcPr>
            <w:tcW w:w="2047" w:type="dxa"/>
            <w:noWrap w:val="0"/>
            <w:vAlign w:val="top"/>
          </w:tcPr>
          <w:p w14:paraId="03DD0F4C">
            <w:pPr>
              <w:spacing w:line="367" w:lineRule="auto"/>
              <w:rPr>
                <w:rFonts w:hint="eastAsia" w:ascii="仿宋" w:hAnsi="仿宋" w:eastAsia="仿宋" w:cs="仿宋"/>
                <w:sz w:val="21"/>
              </w:rPr>
            </w:pPr>
          </w:p>
          <w:p w14:paraId="4E9100B6">
            <w:pPr>
              <w:pStyle w:val="60"/>
              <w:spacing w:before="68" w:line="219" w:lineRule="auto"/>
              <w:ind w:left="245"/>
              <w:rPr>
                <w:rFonts w:hint="eastAsia" w:ascii="仿宋" w:hAnsi="仿宋" w:eastAsia="仿宋" w:cs="仿宋"/>
              </w:rPr>
            </w:pPr>
            <w:r>
              <w:rPr>
                <w:rFonts w:hint="eastAsia" w:ascii="仿宋" w:hAnsi="仿宋" w:eastAsia="仿宋" w:cs="仿宋"/>
                <w:spacing w:val="-2"/>
              </w:rPr>
              <w:t>投标报价人民币</w:t>
            </w:r>
          </w:p>
        </w:tc>
        <w:tc>
          <w:tcPr>
            <w:tcW w:w="6292" w:type="dxa"/>
            <w:gridSpan w:val="3"/>
            <w:tcBorders>
              <w:right w:val="single" w:color="000000" w:sz="2" w:space="0"/>
            </w:tcBorders>
            <w:noWrap w:val="0"/>
            <w:vAlign w:val="top"/>
          </w:tcPr>
          <w:p w14:paraId="4B441B91">
            <w:pPr>
              <w:pStyle w:val="60"/>
              <w:spacing w:before="29" w:line="220" w:lineRule="auto"/>
              <w:ind w:left="112"/>
              <w:rPr>
                <w:rFonts w:hint="eastAsia" w:ascii="仿宋" w:hAnsi="仿宋" w:eastAsia="仿宋" w:cs="仿宋"/>
              </w:rPr>
            </w:pPr>
            <w:r>
              <w:rPr>
                <w:rFonts w:hint="eastAsia" w:ascii="仿宋" w:hAnsi="仿宋" w:eastAsia="仿宋" w:cs="仿宋"/>
                <w:spacing w:val="-14"/>
              </w:rPr>
              <w:t xml:space="preserve">大写： </w:t>
            </w:r>
            <w:r>
              <w:rPr>
                <w:rFonts w:hint="eastAsia" w:ascii="仿宋" w:hAnsi="仿宋" w:eastAsia="仿宋" w:cs="仿宋"/>
                <w:u w:val="single" w:color="auto"/>
              </w:rPr>
              <w:t xml:space="preserve">                    </w:t>
            </w:r>
            <w:r>
              <w:rPr>
                <w:rFonts w:hint="eastAsia" w:ascii="仿宋" w:hAnsi="仿宋" w:eastAsia="仿宋" w:cs="仿宋"/>
                <w:spacing w:val="-93"/>
              </w:rPr>
              <w:t xml:space="preserve"> </w:t>
            </w:r>
            <w:r>
              <w:rPr>
                <w:rFonts w:hint="eastAsia" w:ascii="仿宋" w:hAnsi="仿宋" w:eastAsia="仿宋" w:cs="仿宋"/>
                <w:spacing w:val="-14"/>
              </w:rPr>
              <w:t>元人民币整</w:t>
            </w:r>
          </w:p>
          <w:p w14:paraId="22722BC5">
            <w:pPr>
              <w:spacing w:line="248" w:lineRule="auto"/>
              <w:rPr>
                <w:rFonts w:hint="eastAsia" w:ascii="仿宋" w:hAnsi="仿宋" w:eastAsia="仿宋" w:cs="仿宋"/>
                <w:sz w:val="21"/>
              </w:rPr>
            </w:pPr>
          </w:p>
          <w:p w14:paraId="446E390C">
            <w:pPr>
              <w:pStyle w:val="60"/>
              <w:spacing w:before="68" w:line="220" w:lineRule="auto"/>
              <w:ind w:left="115"/>
              <w:rPr>
                <w:rFonts w:hint="eastAsia" w:ascii="仿宋" w:hAnsi="仿宋" w:eastAsia="仿宋" w:cs="仿宋"/>
              </w:rPr>
            </w:pPr>
            <w:r>
              <w:rPr>
                <w:rFonts w:hint="eastAsia" w:ascii="仿宋" w:hAnsi="仿宋" w:eastAsia="仿宋" w:cs="仿宋"/>
                <w:spacing w:val="-15"/>
              </w:rPr>
              <w:t xml:space="preserve">小写： </w:t>
            </w:r>
            <w:r>
              <w:rPr>
                <w:rFonts w:hint="eastAsia" w:ascii="仿宋" w:hAnsi="仿宋" w:eastAsia="仿宋" w:cs="仿宋"/>
                <w:u w:val="single" w:color="auto"/>
              </w:rPr>
              <w:t xml:space="preserve">                    </w:t>
            </w:r>
            <w:r>
              <w:rPr>
                <w:rFonts w:hint="eastAsia" w:ascii="仿宋" w:hAnsi="仿宋" w:eastAsia="仿宋" w:cs="仿宋"/>
                <w:spacing w:val="-87"/>
              </w:rPr>
              <w:t xml:space="preserve"> </w:t>
            </w:r>
            <w:r>
              <w:rPr>
                <w:rFonts w:hint="eastAsia" w:ascii="仿宋" w:hAnsi="仿宋" w:eastAsia="仿宋" w:cs="仿宋"/>
                <w:spacing w:val="-15"/>
              </w:rPr>
              <w:t>元人民币整</w:t>
            </w:r>
          </w:p>
        </w:tc>
      </w:tr>
      <w:tr w14:paraId="59DBF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08" w:type="dxa"/>
            <w:tcBorders>
              <w:left w:val="single" w:color="000000" w:sz="2" w:space="0"/>
              <w:bottom w:val="single" w:color="000000" w:sz="2" w:space="0"/>
            </w:tcBorders>
            <w:noWrap w:val="0"/>
            <w:vAlign w:val="top"/>
          </w:tcPr>
          <w:p w14:paraId="73C5E743">
            <w:pPr>
              <w:pStyle w:val="60"/>
              <w:spacing w:before="71" w:line="182" w:lineRule="auto"/>
              <w:ind w:left="213"/>
              <w:rPr>
                <w:rFonts w:hint="eastAsia" w:ascii="仿宋" w:hAnsi="仿宋" w:eastAsia="仿宋" w:cs="仿宋"/>
              </w:rPr>
            </w:pPr>
            <w:r>
              <w:rPr>
                <w:rFonts w:hint="eastAsia" w:ascii="仿宋" w:hAnsi="仿宋" w:eastAsia="仿宋" w:cs="仿宋"/>
              </w:rPr>
              <w:t>3</w:t>
            </w:r>
          </w:p>
        </w:tc>
        <w:tc>
          <w:tcPr>
            <w:tcW w:w="2047" w:type="dxa"/>
            <w:tcBorders>
              <w:bottom w:val="single" w:color="000000" w:sz="2" w:space="0"/>
            </w:tcBorders>
            <w:noWrap w:val="0"/>
            <w:vAlign w:val="top"/>
          </w:tcPr>
          <w:p w14:paraId="3658701D">
            <w:pPr>
              <w:pStyle w:val="60"/>
              <w:spacing w:before="36" w:line="222" w:lineRule="auto"/>
              <w:ind w:left="665"/>
              <w:rPr>
                <w:rFonts w:hint="eastAsia" w:ascii="仿宋" w:hAnsi="仿宋" w:eastAsia="仿宋" w:cs="仿宋"/>
              </w:rPr>
            </w:pPr>
            <w:r>
              <w:rPr>
                <w:rFonts w:hint="eastAsia" w:ascii="仿宋" w:hAnsi="仿宋" w:eastAsia="仿宋" w:cs="仿宋"/>
                <w:spacing w:val="-5"/>
              </w:rPr>
              <w:t>备</w:t>
            </w:r>
            <w:r>
              <w:rPr>
                <w:rFonts w:hint="eastAsia" w:ascii="仿宋" w:hAnsi="仿宋" w:eastAsia="仿宋" w:cs="仿宋"/>
                <w:spacing w:val="4"/>
              </w:rPr>
              <w:t xml:space="preserve">  </w:t>
            </w:r>
            <w:r>
              <w:rPr>
                <w:rFonts w:hint="eastAsia" w:ascii="仿宋" w:hAnsi="仿宋" w:eastAsia="仿宋" w:cs="仿宋"/>
                <w:spacing w:val="-5"/>
              </w:rPr>
              <w:t>注</w:t>
            </w:r>
          </w:p>
        </w:tc>
        <w:tc>
          <w:tcPr>
            <w:tcW w:w="6292" w:type="dxa"/>
            <w:gridSpan w:val="3"/>
            <w:tcBorders>
              <w:bottom w:val="single" w:color="000000" w:sz="2" w:space="0"/>
              <w:right w:val="single" w:color="000000" w:sz="2" w:space="0"/>
            </w:tcBorders>
            <w:noWrap w:val="0"/>
            <w:vAlign w:val="top"/>
          </w:tcPr>
          <w:p w14:paraId="65046292">
            <w:pPr>
              <w:rPr>
                <w:rFonts w:hint="eastAsia" w:ascii="仿宋" w:hAnsi="仿宋" w:eastAsia="仿宋" w:cs="仿宋"/>
                <w:sz w:val="21"/>
              </w:rPr>
            </w:pPr>
          </w:p>
        </w:tc>
      </w:tr>
    </w:tbl>
    <w:p w14:paraId="12F0CA6D">
      <w:pPr>
        <w:pStyle w:val="11"/>
        <w:spacing w:before="69" w:line="220" w:lineRule="auto"/>
        <w:rPr>
          <w:rFonts w:hint="eastAsia" w:ascii="仿宋" w:hAnsi="仿宋" w:eastAsia="仿宋" w:cs="仿宋"/>
          <w:spacing w:val="-9"/>
          <w:sz w:val="21"/>
          <w:szCs w:val="21"/>
          <w:lang w:eastAsia="zh-CN"/>
        </w:rPr>
      </w:pPr>
      <w:r>
        <w:rPr>
          <w:rFonts w:hint="eastAsia" w:ascii="仿宋" w:hAnsi="仿宋" w:eastAsia="仿宋" w:cs="仿宋"/>
          <w:spacing w:val="-9"/>
          <w:sz w:val="21"/>
          <w:szCs w:val="21"/>
          <w:lang w:eastAsia="zh-CN"/>
        </w:rPr>
        <w:t>注：</w:t>
      </w:r>
    </w:p>
    <w:p w14:paraId="53F49125">
      <w:pPr>
        <w:pStyle w:val="11"/>
        <w:spacing w:before="69" w:line="220" w:lineRule="auto"/>
        <w:ind w:left="37"/>
        <w:rPr>
          <w:rFonts w:hint="eastAsia" w:ascii="仿宋" w:hAnsi="仿宋" w:eastAsia="仿宋" w:cs="仿宋"/>
          <w:spacing w:val="-9"/>
          <w:sz w:val="21"/>
          <w:szCs w:val="21"/>
        </w:rPr>
      </w:pPr>
      <w:r>
        <w:rPr>
          <w:rFonts w:hint="eastAsia" w:ascii="仿宋" w:hAnsi="仿宋" w:eastAsia="仿宋" w:cs="仿宋"/>
          <w:spacing w:val="-9"/>
          <w:sz w:val="21"/>
          <w:szCs w:val="21"/>
          <w:lang w:val="en-US" w:eastAsia="zh-CN"/>
        </w:rPr>
        <w:t>1、</w:t>
      </w:r>
      <w:r>
        <w:rPr>
          <w:rFonts w:hint="eastAsia" w:ascii="仿宋" w:hAnsi="仿宋" w:eastAsia="仿宋" w:cs="仿宋"/>
          <w:spacing w:val="-9"/>
          <w:sz w:val="21"/>
          <w:szCs w:val="21"/>
        </w:rPr>
        <w:t>最后报价</w:t>
      </w:r>
      <w:r>
        <w:rPr>
          <w:rFonts w:hint="eastAsia" w:ascii="仿宋" w:hAnsi="仿宋" w:eastAsia="仿宋" w:cs="仿宋"/>
          <w:spacing w:val="-9"/>
          <w:sz w:val="21"/>
          <w:szCs w:val="21"/>
          <w:lang w:val="en-US" w:eastAsia="zh-CN"/>
        </w:rPr>
        <w:t>相关内容和</w:t>
      </w:r>
      <w:r>
        <w:rPr>
          <w:rFonts w:hint="eastAsia" w:ascii="仿宋" w:hAnsi="仿宋" w:eastAsia="仿宋" w:cs="仿宋"/>
          <w:spacing w:val="-9"/>
          <w:sz w:val="21"/>
          <w:szCs w:val="21"/>
        </w:rPr>
        <w:t>表格不得装订在响应文件中，供应商需单独准备，</w:t>
      </w:r>
      <w:r>
        <w:rPr>
          <w:rFonts w:hint="eastAsia" w:ascii="仿宋" w:hAnsi="仿宋" w:eastAsia="仿宋" w:cs="仿宋"/>
          <w:spacing w:val="-9"/>
          <w:sz w:val="21"/>
          <w:szCs w:val="21"/>
          <w:lang w:val="en-US" w:eastAsia="zh-CN"/>
        </w:rPr>
        <w:t>磋商</w:t>
      </w:r>
      <w:r>
        <w:rPr>
          <w:rFonts w:hint="eastAsia" w:ascii="仿宋" w:hAnsi="仿宋" w:eastAsia="仿宋" w:cs="仿宋"/>
          <w:spacing w:val="-9"/>
          <w:sz w:val="21"/>
          <w:szCs w:val="21"/>
        </w:rPr>
        <w:t>现场进行最后报价。</w:t>
      </w:r>
    </w:p>
    <w:p w14:paraId="3E7921E1">
      <w:pPr>
        <w:pStyle w:val="11"/>
        <w:spacing w:before="69" w:line="220" w:lineRule="auto"/>
        <w:ind w:left="37"/>
        <w:rPr>
          <w:rFonts w:hint="eastAsia" w:ascii="仿宋" w:hAnsi="仿宋" w:eastAsia="仿宋" w:cs="仿宋"/>
          <w:spacing w:val="-9"/>
          <w:sz w:val="21"/>
          <w:szCs w:val="21"/>
        </w:rPr>
      </w:pPr>
    </w:p>
    <w:p w14:paraId="18DFB6C2">
      <w:pPr>
        <w:pStyle w:val="11"/>
        <w:spacing w:before="69" w:line="220" w:lineRule="auto"/>
        <w:ind w:left="37"/>
        <w:rPr>
          <w:rFonts w:hint="eastAsia" w:ascii="仿宋" w:hAnsi="仿宋" w:eastAsia="仿宋" w:cs="仿宋"/>
          <w:spacing w:val="-9"/>
          <w:sz w:val="21"/>
          <w:szCs w:val="21"/>
        </w:rPr>
      </w:pPr>
    </w:p>
    <w:p w14:paraId="68B2E067">
      <w:pPr>
        <w:pStyle w:val="11"/>
        <w:spacing w:before="69" w:line="220" w:lineRule="auto"/>
        <w:ind w:left="37"/>
        <w:rPr>
          <w:rFonts w:hint="eastAsia" w:ascii="仿宋" w:hAnsi="仿宋" w:eastAsia="仿宋" w:cs="仿宋"/>
          <w:sz w:val="24"/>
          <w:szCs w:val="24"/>
        </w:rPr>
      </w:pPr>
      <w:r>
        <w:rPr>
          <w:rFonts w:hint="eastAsia" w:ascii="仿宋" w:hAnsi="仿宋" w:eastAsia="仿宋" w:cs="仿宋"/>
          <w:spacing w:val="-9"/>
          <w:sz w:val="24"/>
          <w:szCs w:val="24"/>
        </w:rPr>
        <w:t>供应商（盖单位章</w:t>
      </w:r>
      <w:r>
        <w:rPr>
          <w:rFonts w:hint="eastAsia" w:ascii="仿宋" w:hAnsi="仿宋" w:eastAsia="仿宋" w:cs="仿宋"/>
          <w:spacing w:val="3"/>
          <w:sz w:val="24"/>
          <w:szCs w:val="24"/>
        </w:rPr>
        <w:t>）</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w:t>
      </w:r>
    </w:p>
    <w:p w14:paraId="71BF4ECC">
      <w:pPr>
        <w:pStyle w:val="11"/>
        <w:spacing w:before="157" w:line="359" w:lineRule="auto"/>
        <w:ind w:left="37"/>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法定代表人或其委托代理人签字：</w:t>
      </w:r>
      <w:r>
        <w:rPr>
          <w:rFonts w:hint="eastAsia" w:ascii="仿宋" w:hAnsi="仿宋" w:eastAsia="仿宋" w:cs="仿宋"/>
          <w:spacing w:val="-1"/>
          <w:sz w:val="24"/>
          <w:szCs w:val="24"/>
          <w:u w:val="single" w:color="auto"/>
        </w:rPr>
        <w:t xml:space="preserve">       </w:t>
      </w:r>
    </w:p>
    <w:p w14:paraId="5A9E00D8">
      <w:pPr>
        <w:pStyle w:val="11"/>
        <w:spacing w:before="1" w:line="220" w:lineRule="auto"/>
        <w:ind w:left="73"/>
        <w:rPr>
          <w:rFonts w:hint="eastAsia" w:ascii="仿宋" w:hAnsi="仿宋" w:eastAsia="仿宋" w:cs="仿宋"/>
          <w:sz w:val="24"/>
          <w:szCs w:val="24"/>
        </w:rPr>
      </w:pPr>
      <w:r>
        <w:rPr>
          <w:rFonts w:hint="eastAsia" w:ascii="仿宋" w:hAnsi="仿宋" w:eastAsia="仿宋" w:cs="仿宋"/>
          <w:spacing w:val="-26"/>
          <w:sz w:val="24"/>
          <w:szCs w:val="24"/>
        </w:rPr>
        <w:t>日期：</w:t>
      </w:r>
      <w:r>
        <w:rPr>
          <w:rFonts w:hint="eastAsia" w:ascii="仿宋" w:hAnsi="仿宋" w:eastAsia="仿宋" w:cs="仿宋"/>
          <w:spacing w:val="-14"/>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95"/>
          <w:sz w:val="24"/>
          <w:szCs w:val="24"/>
        </w:rPr>
        <w:t xml:space="preserve"> </w:t>
      </w:r>
      <w:r>
        <w:rPr>
          <w:rFonts w:hint="eastAsia" w:ascii="仿宋" w:hAnsi="仿宋" w:eastAsia="仿宋" w:cs="仿宋"/>
          <w:spacing w:val="-26"/>
          <w:sz w:val="24"/>
          <w:szCs w:val="24"/>
        </w:rPr>
        <w:t>年</w:t>
      </w:r>
      <w:r>
        <w:rPr>
          <w:rFonts w:hint="eastAsia" w:ascii="仿宋" w:hAnsi="仿宋" w:eastAsia="仿宋" w:cs="仿宋"/>
          <w:spacing w:val="34"/>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26"/>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1"/>
          <w:sz w:val="24"/>
          <w:szCs w:val="24"/>
        </w:rPr>
        <w:t xml:space="preserve"> </w:t>
      </w:r>
      <w:r>
        <w:rPr>
          <w:rFonts w:hint="eastAsia" w:ascii="仿宋" w:hAnsi="仿宋" w:eastAsia="仿宋" w:cs="仿宋"/>
          <w:spacing w:val="-26"/>
          <w:sz w:val="24"/>
          <w:szCs w:val="24"/>
        </w:rPr>
        <w:t>日</w:t>
      </w:r>
    </w:p>
    <w:p w14:paraId="33CFF57D">
      <w:pPr>
        <w:pStyle w:val="44"/>
        <w:numPr>
          <w:ilvl w:val="0"/>
          <w:numId w:val="0"/>
        </w:numPr>
        <w:ind w:leftChars="0"/>
        <w:rPr>
          <w:rFonts w:hint="eastAsia" w:ascii="黑体" w:hAnsi="黑体" w:eastAsia="黑体" w:cs="黑体"/>
          <w:spacing w:val="-1"/>
          <w:sz w:val="31"/>
          <w:szCs w:val="31"/>
          <w:lang w:eastAsia="zh-CN"/>
        </w:rPr>
      </w:pPr>
    </w:p>
    <w:p w14:paraId="5AA92674">
      <w:pPr>
        <w:pStyle w:val="44"/>
        <w:numPr>
          <w:ilvl w:val="0"/>
          <w:numId w:val="0"/>
        </w:numPr>
        <w:ind w:leftChars="0"/>
        <w:rPr>
          <w:rFonts w:hint="eastAsia" w:ascii="黑体" w:hAnsi="黑体" w:eastAsia="黑体" w:cs="黑体"/>
          <w:spacing w:val="-1"/>
          <w:sz w:val="31"/>
          <w:szCs w:val="31"/>
          <w:lang w:eastAsia="zh-CN"/>
        </w:rPr>
      </w:pPr>
    </w:p>
    <w:p w14:paraId="62109DFC">
      <w:pPr>
        <w:pStyle w:val="44"/>
        <w:numPr>
          <w:ilvl w:val="0"/>
          <w:numId w:val="0"/>
        </w:numPr>
        <w:ind w:leftChars="0"/>
        <w:rPr>
          <w:rFonts w:hint="eastAsia" w:ascii="黑体" w:hAnsi="黑体" w:eastAsia="黑体" w:cs="黑体"/>
          <w:spacing w:val="-1"/>
          <w:sz w:val="31"/>
          <w:szCs w:val="31"/>
          <w:lang w:eastAsia="zh-CN"/>
        </w:rPr>
      </w:pPr>
    </w:p>
    <w:p w14:paraId="26BACBB2">
      <w:pPr>
        <w:pStyle w:val="44"/>
        <w:numPr>
          <w:ilvl w:val="0"/>
          <w:numId w:val="0"/>
        </w:numPr>
        <w:ind w:leftChars="0"/>
        <w:rPr>
          <w:rFonts w:hint="eastAsia" w:ascii="黑体" w:hAnsi="黑体" w:eastAsia="黑体" w:cs="黑体"/>
          <w:spacing w:val="-1"/>
          <w:sz w:val="31"/>
          <w:szCs w:val="31"/>
          <w:lang w:eastAsia="zh-CN"/>
        </w:rPr>
      </w:pPr>
    </w:p>
    <w:p w14:paraId="51891CF7">
      <w:pPr>
        <w:pStyle w:val="44"/>
        <w:numPr>
          <w:ilvl w:val="0"/>
          <w:numId w:val="0"/>
        </w:numPr>
        <w:ind w:leftChars="0"/>
        <w:rPr>
          <w:rFonts w:hint="eastAsia" w:ascii="黑体" w:hAnsi="黑体" w:eastAsia="黑体" w:cs="黑体"/>
          <w:spacing w:val="-1"/>
          <w:sz w:val="31"/>
          <w:szCs w:val="31"/>
          <w:lang w:eastAsia="zh-CN"/>
        </w:rPr>
      </w:pPr>
    </w:p>
    <w:p w14:paraId="2350AEBB">
      <w:pPr>
        <w:pStyle w:val="44"/>
        <w:numPr>
          <w:ilvl w:val="0"/>
          <w:numId w:val="0"/>
        </w:numPr>
        <w:ind w:leftChars="0"/>
        <w:rPr>
          <w:rFonts w:hint="eastAsia" w:ascii="黑体" w:hAnsi="黑体" w:eastAsia="黑体" w:cs="黑体"/>
          <w:spacing w:val="-1"/>
          <w:sz w:val="31"/>
          <w:szCs w:val="31"/>
          <w:lang w:eastAsia="zh-CN"/>
        </w:rPr>
      </w:pPr>
    </w:p>
    <w:bookmarkEnd w:id="207"/>
    <w:bookmarkEnd w:id="208"/>
    <w:p w14:paraId="70215009">
      <w:pPr>
        <w:pStyle w:val="25"/>
        <w:ind w:left="0" w:leftChars="0" w:firstLine="0" w:firstLineChars="0"/>
        <w:rPr>
          <w:rFonts w:hint="eastAsia" w:ascii="仿宋" w:hAnsi="仿宋" w:eastAsia="仿宋" w:cs="仿宋"/>
          <w:b/>
          <w:bCs/>
          <w:color w:val="auto"/>
          <w:sz w:val="32"/>
          <w:szCs w:val="32"/>
          <w:highlight w:val="none"/>
          <w:lang w:val="en-US" w:eastAsia="zh-CN"/>
        </w:rPr>
      </w:pPr>
    </w:p>
    <w:sectPr>
      <w:headerReference r:id="rId6" w:type="default"/>
      <w:footerReference r:id="rId7" w:type="default"/>
      <w:pgSz w:w="11906" w:h="16838"/>
      <w:pgMar w:top="1440" w:right="1304" w:bottom="1440" w:left="130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DD1C">
    <w:pPr>
      <w:pStyle w:val="19"/>
      <w:rPr>
        <w:rFonts w:hint="eastAsia"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4941C">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84941C">
                    <w:pPr>
                      <w:pStyle w:val="1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 w:hAnsi="仿宋" w:eastAsia="仿宋" w:cs="仿宋"/>
        <w:lang w:val="en-US" w:eastAsia="zh-CN"/>
      </w:rPr>
      <w:t xml:space="preserve">======================================================================================================= </w:t>
    </w:r>
  </w:p>
  <w:p w14:paraId="492B50C5">
    <w:pPr>
      <w:pStyle w:val="19"/>
      <w:ind w:left="240" w:right="359" w:rightChars="171" w:hanging="180" w:hangingChars="10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B2B1">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E829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2E829A">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6E09F">
    <w:pPr>
      <w:pStyle w:val="19"/>
      <w:rPr>
        <w:rFonts w:ascii="宋体" w:hAnsi="宋体"/>
        <w:sz w:val="16"/>
        <w:szCs w:val="16"/>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31484">
                          <w:pPr>
                            <w:pStyle w:val="1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431484">
                    <w:pPr>
                      <w:pStyle w:val="19"/>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ascii="仿宋" w:hAnsi="仿宋" w:eastAsia="仿宋" w:cs="仿宋"/>
        <w:lang w:val="en-US" w:eastAsia="zh-CN"/>
      </w:rPr>
      <w:t>=======================================================================================================</w:t>
    </w:r>
  </w:p>
  <w:p w14:paraId="30573337">
    <w:pPr>
      <w:pStyle w:val="19"/>
      <w:ind w:left="240" w:right="359" w:rightChars="171" w:hanging="180" w:hangingChars="10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32BE">
    <w:pPr>
      <w:pStyle w:val="18"/>
      <w:jc w:val="left"/>
      <w:rPr>
        <w:rFonts w:hint="eastAsia" w:ascii="仿宋" w:hAnsi="仿宋" w:eastAsia="仿宋" w:cs="仿宋"/>
        <w:lang w:eastAsia="zh-CN"/>
      </w:rPr>
    </w:pPr>
    <w:r>
      <w:rPr>
        <w:rFonts w:hint="eastAsia" w:ascii="仿宋" w:hAnsi="仿宋" w:eastAsia="仿宋" w:cs="仿宋"/>
        <w:color w:val="auto"/>
        <w:sz w:val="18"/>
        <w:szCs w:val="18"/>
        <w:u w:val="none"/>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竞争性磋商</w:t>
    </w:r>
    <w:r>
      <w:rPr>
        <w:rFonts w:hint="eastAsia" w:ascii="仿宋" w:hAnsi="仿宋" w:eastAsia="仿宋" w:cs="仿宋"/>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7B1A">
    <w:pPr>
      <w:pStyle w:val="18"/>
      <w:jc w:val="left"/>
      <w:rPr>
        <w:rFonts w:hint="eastAsia" w:ascii="仿宋" w:hAnsi="仿宋" w:eastAsia="仿宋" w:cs="仿宋"/>
        <w:lang w:eastAsia="zh-CN"/>
      </w:rPr>
    </w:pPr>
    <w:r>
      <w:rPr>
        <w:rFonts w:hint="eastAsia" w:ascii="仿宋" w:hAnsi="仿宋" w:eastAsia="仿宋" w:cs="仿宋"/>
        <w:color w:val="auto"/>
        <w:sz w:val="18"/>
        <w:szCs w:val="18"/>
        <w:u w:val="none"/>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仿宋" w:hAnsi="仿宋" w:eastAsia="仿宋" w:cs="仿宋"/>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9C7D1"/>
    <w:multiLevelType w:val="singleLevel"/>
    <w:tmpl w:val="82C9C7D1"/>
    <w:lvl w:ilvl="0" w:tentative="0">
      <w:start w:val="4"/>
      <w:numFmt w:val="chineseCounting"/>
      <w:suff w:val="space"/>
      <w:lvlText w:val="第%1章"/>
      <w:lvlJc w:val="left"/>
      <w:rPr>
        <w:rFonts w:hint="eastAsia"/>
      </w:rPr>
    </w:lvl>
  </w:abstractNum>
  <w:abstractNum w:abstractNumId="1">
    <w:nsid w:val="9592EC51"/>
    <w:multiLevelType w:val="singleLevel"/>
    <w:tmpl w:val="9592EC51"/>
    <w:lvl w:ilvl="0" w:tentative="0">
      <w:start w:val="10"/>
      <w:numFmt w:val="decimal"/>
      <w:suff w:val="nothing"/>
      <w:lvlText w:val="%1、"/>
      <w:lvlJc w:val="left"/>
    </w:lvl>
  </w:abstractNum>
  <w:abstractNum w:abstractNumId="2">
    <w:nsid w:val="ACC9423E"/>
    <w:multiLevelType w:val="singleLevel"/>
    <w:tmpl w:val="ACC9423E"/>
    <w:lvl w:ilvl="0" w:tentative="0">
      <w:start w:val="1"/>
      <w:numFmt w:val="chineseCounting"/>
      <w:suff w:val="space"/>
      <w:lvlText w:val="第%1章"/>
      <w:lvlJc w:val="left"/>
      <w:rPr>
        <w:rFonts w:hint="eastAsia"/>
      </w:rPr>
    </w:lvl>
  </w:abstractNum>
  <w:abstractNum w:abstractNumId="3">
    <w:nsid w:val="DF59F2F1"/>
    <w:multiLevelType w:val="singleLevel"/>
    <w:tmpl w:val="DF59F2F1"/>
    <w:lvl w:ilvl="0" w:tentative="0">
      <w:start w:val="16"/>
      <w:numFmt w:val="decimal"/>
      <w:lvlText w:val="%1."/>
      <w:lvlJc w:val="left"/>
      <w:pPr>
        <w:tabs>
          <w:tab w:val="left" w:pos="312"/>
        </w:tabs>
      </w:pPr>
    </w:lvl>
  </w:abstractNum>
  <w:abstractNum w:abstractNumId="4">
    <w:nsid w:val="E917AE86"/>
    <w:multiLevelType w:val="singleLevel"/>
    <w:tmpl w:val="E917AE86"/>
    <w:lvl w:ilvl="0" w:tentative="0">
      <w:start w:val="6"/>
      <w:numFmt w:val="decimal"/>
      <w:suff w:val="nothing"/>
      <w:lvlText w:val="%1、"/>
      <w:lvlJc w:val="left"/>
    </w:lvl>
  </w:abstractNum>
  <w:abstractNum w:abstractNumId="5">
    <w:nsid w:val="64AAEF16"/>
    <w:multiLevelType w:val="singleLevel"/>
    <w:tmpl w:val="64AAEF16"/>
    <w:lvl w:ilvl="0" w:tentative="0">
      <w:start w:val="5"/>
      <w:numFmt w:val="chineseCounting"/>
      <w:suff w:val="nothing"/>
      <w:lvlText w:val="%1、"/>
      <w:lvlJc w:val="left"/>
      <w:rPr>
        <w:rFonts w:hint="eastAsia"/>
      </w:rPr>
    </w:lvl>
  </w:abstractNum>
  <w:abstractNum w:abstractNumId="6">
    <w:nsid w:val="7966038F"/>
    <w:multiLevelType w:val="singleLevel"/>
    <w:tmpl w:val="7966038F"/>
    <w:lvl w:ilvl="0" w:tentative="0">
      <w:start w:val="1"/>
      <w:numFmt w:val="decimal"/>
      <w:suff w:val="nothing"/>
      <w:lvlText w:val="（%1）"/>
      <w:lvlJc w:val="left"/>
      <w:pPr>
        <w:ind w:left="420" w:leftChars="0" w:firstLine="0" w:firstLineChars="0"/>
      </w:p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TRkYWM4YjkyMDQzZGUxYWJhZTNlZWM0NzRiY2QifQ=="/>
  </w:docVars>
  <w:rsids>
    <w:rsidRoot w:val="2884752B"/>
    <w:rsid w:val="00D41750"/>
    <w:rsid w:val="012B13DD"/>
    <w:rsid w:val="01340722"/>
    <w:rsid w:val="01746AF4"/>
    <w:rsid w:val="01A9706E"/>
    <w:rsid w:val="01AF70E0"/>
    <w:rsid w:val="01B36BD0"/>
    <w:rsid w:val="021266BF"/>
    <w:rsid w:val="029D40DD"/>
    <w:rsid w:val="02B0310F"/>
    <w:rsid w:val="0332572E"/>
    <w:rsid w:val="0361440A"/>
    <w:rsid w:val="03B86720"/>
    <w:rsid w:val="03C52BEB"/>
    <w:rsid w:val="040C6A6B"/>
    <w:rsid w:val="040F2FA9"/>
    <w:rsid w:val="0422003D"/>
    <w:rsid w:val="042F4508"/>
    <w:rsid w:val="043B1FC0"/>
    <w:rsid w:val="043D4E77"/>
    <w:rsid w:val="044955CA"/>
    <w:rsid w:val="04620439"/>
    <w:rsid w:val="04642403"/>
    <w:rsid w:val="04877EA0"/>
    <w:rsid w:val="04A4372D"/>
    <w:rsid w:val="0523406D"/>
    <w:rsid w:val="0539563E"/>
    <w:rsid w:val="053A06B0"/>
    <w:rsid w:val="054A784B"/>
    <w:rsid w:val="05C55124"/>
    <w:rsid w:val="05FC4CED"/>
    <w:rsid w:val="065D710A"/>
    <w:rsid w:val="066C37F1"/>
    <w:rsid w:val="06B036DE"/>
    <w:rsid w:val="072D11D3"/>
    <w:rsid w:val="072E0F93"/>
    <w:rsid w:val="073A38EF"/>
    <w:rsid w:val="074A3B33"/>
    <w:rsid w:val="075A4552"/>
    <w:rsid w:val="0768022C"/>
    <w:rsid w:val="07E41CD4"/>
    <w:rsid w:val="080C0DE8"/>
    <w:rsid w:val="082223BA"/>
    <w:rsid w:val="08607386"/>
    <w:rsid w:val="08856DEC"/>
    <w:rsid w:val="089C3D38"/>
    <w:rsid w:val="08A90D2D"/>
    <w:rsid w:val="090B72F2"/>
    <w:rsid w:val="0943438C"/>
    <w:rsid w:val="095011A8"/>
    <w:rsid w:val="095C18FB"/>
    <w:rsid w:val="09745C6D"/>
    <w:rsid w:val="09B96D4E"/>
    <w:rsid w:val="09E638BB"/>
    <w:rsid w:val="0A23066B"/>
    <w:rsid w:val="0A42117E"/>
    <w:rsid w:val="0A5B7E05"/>
    <w:rsid w:val="0A7B32AF"/>
    <w:rsid w:val="0A9822B5"/>
    <w:rsid w:val="0ADD4CBE"/>
    <w:rsid w:val="0B3A3EBE"/>
    <w:rsid w:val="0B550CF8"/>
    <w:rsid w:val="0B901D30"/>
    <w:rsid w:val="0BA31A63"/>
    <w:rsid w:val="0C085D6A"/>
    <w:rsid w:val="0C2F1549"/>
    <w:rsid w:val="0C4A6E11"/>
    <w:rsid w:val="0C544494"/>
    <w:rsid w:val="0C880C59"/>
    <w:rsid w:val="0C976640"/>
    <w:rsid w:val="0CCA1272"/>
    <w:rsid w:val="0CCE1629"/>
    <w:rsid w:val="0CD24497"/>
    <w:rsid w:val="0D4F0E96"/>
    <w:rsid w:val="0D5E3708"/>
    <w:rsid w:val="0D7169EE"/>
    <w:rsid w:val="0D725B91"/>
    <w:rsid w:val="0DA47D15"/>
    <w:rsid w:val="0DD91754"/>
    <w:rsid w:val="0DEE74C4"/>
    <w:rsid w:val="0DFE11D3"/>
    <w:rsid w:val="0E635B8D"/>
    <w:rsid w:val="0E7D2A40"/>
    <w:rsid w:val="0ED8797F"/>
    <w:rsid w:val="0EF53EB0"/>
    <w:rsid w:val="0F0942D3"/>
    <w:rsid w:val="0F294935"/>
    <w:rsid w:val="0F4E0349"/>
    <w:rsid w:val="0F515C7A"/>
    <w:rsid w:val="0F6239E3"/>
    <w:rsid w:val="0F9B53AA"/>
    <w:rsid w:val="0FA649E0"/>
    <w:rsid w:val="0FC621C4"/>
    <w:rsid w:val="0FED38B1"/>
    <w:rsid w:val="0FF860F6"/>
    <w:rsid w:val="103C2486"/>
    <w:rsid w:val="109A05F6"/>
    <w:rsid w:val="11431086"/>
    <w:rsid w:val="11904838"/>
    <w:rsid w:val="11AE4CBE"/>
    <w:rsid w:val="11B03A13"/>
    <w:rsid w:val="11DE4E03"/>
    <w:rsid w:val="11EC3A38"/>
    <w:rsid w:val="121F0F83"/>
    <w:rsid w:val="12323B41"/>
    <w:rsid w:val="12945D0B"/>
    <w:rsid w:val="129F0AAB"/>
    <w:rsid w:val="12E84200"/>
    <w:rsid w:val="13525B1D"/>
    <w:rsid w:val="13BC6CD1"/>
    <w:rsid w:val="13DB3D64"/>
    <w:rsid w:val="14063507"/>
    <w:rsid w:val="144162BD"/>
    <w:rsid w:val="147B4BCC"/>
    <w:rsid w:val="14C30EEC"/>
    <w:rsid w:val="15393438"/>
    <w:rsid w:val="15910B7E"/>
    <w:rsid w:val="15AF7257"/>
    <w:rsid w:val="163112C6"/>
    <w:rsid w:val="16543651"/>
    <w:rsid w:val="165D3DDC"/>
    <w:rsid w:val="166E7690"/>
    <w:rsid w:val="16A36DBB"/>
    <w:rsid w:val="17045380"/>
    <w:rsid w:val="17076407"/>
    <w:rsid w:val="174D31CB"/>
    <w:rsid w:val="177B7D38"/>
    <w:rsid w:val="177B7F9C"/>
    <w:rsid w:val="17D31922"/>
    <w:rsid w:val="17DC188B"/>
    <w:rsid w:val="17E57F83"/>
    <w:rsid w:val="17F17FFA"/>
    <w:rsid w:val="17F83137"/>
    <w:rsid w:val="17F84EE5"/>
    <w:rsid w:val="18567E5D"/>
    <w:rsid w:val="195A760B"/>
    <w:rsid w:val="1A3366A8"/>
    <w:rsid w:val="1B0C2E76"/>
    <w:rsid w:val="1B1643AF"/>
    <w:rsid w:val="1B4B17D0"/>
    <w:rsid w:val="1B4F4EDD"/>
    <w:rsid w:val="1B9C027D"/>
    <w:rsid w:val="1BCF0653"/>
    <w:rsid w:val="1BE063BC"/>
    <w:rsid w:val="1C116575"/>
    <w:rsid w:val="1C20736E"/>
    <w:rsid w:val="1C385CF3"/>
    <w:rsid w:val="1C844F99"/>
    <w:rsid w:val="1CD06430"/>
    <w:rsid w:val="1D2B1C22"/>
    <w:rsid w:val="1DB643CF"/>
    <w:rsid w:val="1DCB2234"/>
    <w:rsid w:val="1ED619D4"/>
    <w:rsid w:val="1F654A40"/>
    <w:rsid w:val="1FAD0CAB"/>
    <w:rsid w:val="200547B4"/>
    <w:rsid w:val="204F1D62"/>
    <w:rsid w:val="20602D79"/>
    <w:rsid w:val="207655D1"/>
    <w:rsid w:val="208E4638"/>
    <w:rsid w:val="20BD452B"/>
    <w:rsid w:val="210E5779"/>
    <w:rsid w:val="213E32D5"/>
    <w:rsid w:val="21AB5AE8"/>
    <w:rsid w:val="224D0523"/>
    <w:rsid w:val="2265586D"/>
    <w:rsid w:val="22936057"/>
    <w:rsid w:val="22F95FB5"/>
    <w:rsid w:val="23513661"/>
    <w:rsid w:val="24857B00"/>
    <w:rsid w:val="24B335BD"/>
    <w:rsid w:val="25853B30"/>
    <w:rsid w:val="25D35993"/>
    <w:rsid w:val="26383EE7"/>
    <w:rsid w:val="2643738D"/>
    <w:rsid w:val="2661634B"/>
    <w:rsid w:val="26706EF0"/>
    <w:rsid w:val="26B91CE3"/>
    <w:rsid w:val="26CF5B70"/>
    <w:rsid w:val="26DA121C"/>
    <w:rsid w:val="26E641FB"/>
    <w:rsid w:val="273D0691"/>
    <w:rsid w:val="277F2D1F"/>
    <w:rsid w:val="27BA21B7"/>
    <w:rsid w:val="27D72D69"/>
    <w:rsid w:val="27FC632B"/>
    <w:rsid w:val="28441A80"/>
    <w:rsid w:val="28481571"/>
    <w:rsid w:val="284D302B"/>
    <w:rsid w:val="287A22B2"/>
    <w:rsid w:val="2884752B"/>
    <w:rsid w:val="28870D98"/>
    <w:rsid w:val="28D24C7D"/>
    <w:rsid w:val="28D32810"/>
    <w:rsid w:val="28E03E9F"/>
    <w:rsid w:val="292024ED"/>
    <w:rsid w:val="294066EC"/>
    <w:rsid w:val="29DF7CB3"/>
    <w:rsid w:val="29FE4E85"/>
    <w:rsid w:val="2A4C77FA"/>
    <w:rsid w:val="2A816FBC"/>
    <w:rsid w:val="2AAE58D7"/>
    <w:rsid w:val="2AD9581A"/>
    <w:rsid w:val="2AFC2AE6"/>
    <w:rsid w:val="2B296491"/>
    <w:rsid w:val="2C4E1F60"/>
    <w:rsid w:val="2C860EF2"/>
    <w:rsid w:val="2D325917"/>
    <w:rsid w:val="2DBB7F05"/>
    <w:rsid w:val="2DF126AA"/>
    <w:rsid w:val="2E275917"/>
    <w:rsid w:val="2E8452CD"/>
    <w:rsid w:val="2E9F2106"/>
    <w:rsid w:val="2EF6011A"/>
    <w:rsid w:val="2F1831D3"/>
    <w:rsid w:val="2F5702EB"/>
    <w:rsid w:val="2FEE37A6"/>
    <w:rsid w:val="301F52AD"/>
    <w:rsid w:val="302E10CC"/>
    <w:rsid w:val="303D1BD7"/>
    <w:rsid w:val="3071099D"/>
    <w:rsid w:val="30F56EB0"/>
    <w:rsid w:val="3106646D"/>
    <w:rsid w:val="31077AEF"/>
    <w:rsid w:val="311A046D"/>
    <w:rsid w:val="31662A68"/>
    <w:rsid w:val="31770F12"/>
    <w:rsid w:val="31B047B4"/>
    <w:rsid w:val="31F15334"/>
    <w:rsid w:val="320D55D9"/>
    <w:rsid w:val="322E49F9"/>
    <w:rsid w:val="326C0551"/>
    <w:rsid w:val="327E075C"/>
    <w:rsid w:val="32A1377B"/>
    <w:rsid w:val="32C91500"/>
    <w:rsid w:val="33541711"/>
    <w:rsid w:val="335D5ED2"/>
    <w:rsid w:val="33ED56C2"/>
    <w:rsid w:val="342E014E"/>
    <w:rsid w:val="348F6779"/>
    <w:rsid w:val="34B33D14"/>
    <w:rsid w:val="34FF423F"/>
    <w:rsid w:val="35040F15"/>
    <w:rsid w:val="351F5D4F"/>
    <w:rsid w:val="353A4937"/>
    <w:rsid w:val="358E0200"/>
    <w:rsid w:val="35BE10C4"/>
    <w:rsid w:val="35D22DC1"/>
    <w:rsid w:val="35EA1EB9"/>
    <w:rsid w:val="35F42D38"/>
    <w:rsid w:val="362A758D"/>
    <w:rsid w:val="36411C47"/>
    <w:rsid w:val="368E78A4"/>
    <w:rsid w:val="36914A2B"/>
    <w:rsid w:val="37046FAB"/>
    <w:rsid w:val="37164F30"/>
    <w:rsid w:val="3724764D"/>
    <w:rsid w:val="38123949"/>
    <w:rsid w:val="386A2481"/>
    <w:rsid w:val="3879737F"/>
    <w:rsid w:val="388A1731"/>
    <w:rsid w:val="390A508C"/>
    <w:rsid w:val="39495149"/>
    <w:rsid w:val="395F486B"/>
    <w:rsid w:val="396F52E4"/>
    <w:rsid w:val="39900FC9"/>
    <w:rsid w:val="39A95A41"/>
    <w:rsid w:val="3A03179B"/>
    <w:rsid w:val="3A8918CE"/>
    <w:rsid w:val="3AC3717D"/>
    <w:rsid w:val="3AFB2473"/>
    <w:rsid w:val="3B091033"/>
    <w:rsid w:val="3B5E2A01"/>
    <w:rsid w:val="3B716D99"/>
    <w:rsid w:val="3BB012F7"/>
    <w:rsid w:val="3C583D38"/>
    <w:rsid w:val="3C7A70A8"/>
    <w:rsid w:val="3CB558BC"/>
    <w:rsid w:val="3CEF24AB"/>
    <w:rsid w:val="3D4F2CD2"/>
    <w:rsid w:val="3D880E06"/>
    <w:rsid w:val="3D8B6BDA"/>
    <w:rsid w:val="3D960B78"/>
    <w:rsid w:val="3DB441DE"/>
    <w:rsid w:val="3DCA4AF6"/>
    <w:rsid w:val="3E9450B8"/>
    <w:rsid w:val="3EFB5D02"/>
    <w:rsid w:val="3F246518"/>
    <w:rsid w:val="3F4A39C9"/>
    <w:rsid w:val="3F8F2C49"/>
    <w:rsid w:val="3FC45529"/>
    <w:rsid w:val="3FDB17B1"/>
    <w:rsid w:val="3FEC4A80"/>
    <w:rsid w:val="3FF5064E"/>
    <w:rsid w:val="4013200C"/>
    <w:rsid w:val="404F3F0D"/>
    <w:rsid w:val="409F763E"/>
    <w:rsid w:val="41107CF4"/>
    <w:rsid w:val="41285F8B"/>
    <w:rsid w:val="41874091"/>
    <w:rsid w:val="41986C6D"/>
    <w:rsid w:val="41AD44DA"/>
    <w:rsid w:val="426E3E72"/>
    <w:rsid w:val="42701998"/>
    <w:rsid w:val="42782A2D"/>
    <w:rsid w:val="429F402B"/>
    <w:rsid w:val="42CE4911"/>
    <w:rsid w:val="42D261AF"/>
    <w:rsid w:val="42FE51F6"/>
    <w:rsid w:val="43077EB0"/>
    <w:rsid w:val="433B1FA6"/>
    <w:rsid w:val="43424558"/>
    <w:rsid w:val="434700AC"/>
    <w:rsid w:val="43A713E9"/>
    <w:rsid w:val="44413DD0"/>
    <w:rsid w:val="44437E31"/>
    <w:rsid w:val="44706E4E"/>
    <w:rsid w:val="44AC60BD"/>
    <w:rsid w:val="44B71B00"/>
    <w:rsid w:val="45103EB4"/>
    <w:rsid w:val="45837C34"/>
    <w:rsid w:val="466E4440"/>
    <w:rsid w:val="467278F2"/>
    <w:rsid w:val="468E055B"/>
    <w:rsid w:val="46B75DE7"/>
    <w:rsid w:val="46BC1650"/>
    <w:rsid w:val="46D1677D"/>
    <w:rsid w:val="46E62229"/>
    <w:rsid w:val="46FD57C4"/>
    <w:rsid w:val="47A54DB1"/>
    <w:rsid w:val="48755A36"/>
    <w:rsid w:val="48AF2F08"/>
    <w:rsid w:val="48CC7BFD"/>
    <w:rsid w:val="49211C3E"/>
    <w:rsid w:val="495C67D2"/>
    <w:rsid w:val="49D767A1"/>
    <w:rsid w:val="49DF11B1"/>
    <w:rsid w:val="49EA64D4"/>
    <w:rsid w:val="4A946440"/>
    <w:rsid w:val="4A9B77CE"/>
    <w:rsid w:val="4ABB2880"/>
    <w:rsid w:val="4AC05487"/>
    <w:rsid w:val="4AF07B1A"/>
    <w:rsid w:val="4B1225BD"/>
    <w:rsid w:val="4B276840"/>
    <w:rsid w:val="4B647BC0"/>
    <w:rsid w:val="4B86222C"/>
    <w:rsid w:val="4B8E4629"/>
    <w:rsid w:val="4BE80079"/>
    <w:rsid w:val="4C76404F"/>
    <w:rsid w:val="4CBA5BBC"/>
    <w:rsid w:val="4CF605F4"/>
    <w:rsid w:val="4D272911"/>
    <w:rsid w:val="4D830710"/>
    <w:rsid w:val="4DB73951"/>
    <w:rsid w:val="4DCB03CA"/>
    <w:rsid w:val="4E1963D6"/>
    <w:rsid w:val="4E834709"/>
    <w:rsid w:val="4F5148FF"/>
    <w:rsid w:val="4F6F3BA9"/>
    <w:rsid w:val="500F221F"/>
    <w:rsid w:val="50302767"/>
    <w:rsid w:val="5066262C"/>
    <w:rsid w:val="50761340"/>
    <w:rsid w:val="51157EF3"/>
    <w:rsid w:val="511B6F73"/>
    <w:rsid w:val="51453FF0"/>
    <w:rsid w:val="521F2A93"/>
    <w:rsid w:val="52416EAD"/>
    <w:rsid w:val="525210BA"/>
    <w:rsid w:val="52642D3E"/>
    <w:rsid w:val="526862DE"/>
    <w:rsid w:val="52D071EA"/>
    <w:rsid w:val="52F45CCD"/>
    <w:rsid w:val="531956D3"/>
    <w:rsid w:val="54C824D5"/>
    <w:rsid w:val="54CA3B19"/>
    <w:rsid w:val="5533716A"/>
    <w:rsid w:val="55A672AF"/>
    <w:rsid w:val="55BD2CEE"/>
    <w:rsid w:val="55DE6D82"/>
    <w:rsid w:val="562748FA"/>
    <w:rsid w:val="564725B8"/>
    <w:rsid w:val="56521689"/>
    <w:rsid w:val="56AD68BF"/>
    <w:rsid w:val="57156B6D"/>
    <w:rsid w:val="574F7976"/>
    <w:rsid w:val="580E1658"/>
    <w:rsid w:val="58B02697"/>
    <w:rsid w:val="58DC16DE"/>
    <w:rsid w:val="5979517E"/>
    <w:rsid w:val="5A1D5DC3"/>
    <w:rsid w:val="5A4B385C"/>
    <w:rsid w:val="5A65028D"/>
    <w:rsid w:val="5A6B18B9"/>
    <w:rsid w:val="5A82304A"/>
    <w:rsid w:val="5ABC6DAF"/>
    <w:rsid w:val="5ABE7E1B"/>
    <w:rsid w:val="5B5F7DE8"/>
    <w:rsid w:val="5BB04329"/>
    <w:rsid w:val="5BBB382C"/>
    <w:rsid w:val="5C052CF9"/>
    <w:rsid w:val="5C0C22DA"/>
    <w:rsid w:val="5C2A6C04"/>
    <w:rsid w:val="5C720FA5"/>
    <w:rsid w:val="5CD32DF8"/>
    <w:rsid w:val="5D445AA3"/>
    <w:rsid w:val="5D4B5084"/>
    <w:rsid w:val="5D886BDC"/>
    <w:rsid w:val="5D9A6532"/>
    <w:rsid w:val="5E1831B8"/>
    <w:rsid w:val="5E2F405E"/>
    <w:rsid w:val="5E872619"/>
    <w:rsid w:val="5F6661A5"/>
    <w:rsid w:val="5F9F1931"/>
    <w:rsid w:val="5FE315A4"/>
    <w:rsid w:val="600D2854"/>
    <w:rsid w:val="605E50CE"/>
    <w:rsid w:val="606049A2"/>
    <w:rsid w:val="609D79A4"/>
    <w:rsid w:val="61614EF2"/>
    <w:rsid w:val="61A34EB6"/>
    <w:rsid w:val="61C86CA3"/>
    <w:rsid w:val="61C9094E"/>
    <w:rsid w:val="61CB7520"/>
    <w:rsid w:val="62540A5E"/>
    <w:rsid w:val="629728D0"/>
    <w:rsid w:val="62A25746"/>
    <w:rsid w:val="62E01DCA"/>
    <w:rsid w:val="6309401E"/>
    <w:rsid w:val="630A1EE0"/>
    <w:rsid w:val="631834D0"/>
    <w:rsid w:val="633D546F"/>
    <w:rsid w:val="6372715B"/>
    <w:rsid w:val="63C35974"/>
    <w:rsid w:val="63D538F9"/>
    <w:rsid w:val="64A2188E"/>
    <w:rsid w:val="64CE13FE"/>
    <w:rsid w:val="652F1BCA"/>
    <w:rsid w:val="65D0090B"/>
    <w:rsid w:val="667B683E"/>
    <w:rsid w:val="66805D9E"/>
    <w:rsid w:val="66A870A3"/>
    <w:rsid w:val="67092AF3"/>
    <w:rsid w:val="674365C0"/>
    <w:rsid w:val="67B35CFF"/>
    <w:rsid w:val="67F325A0"/>
    <w:rsid w:val="68AC6A2E"/>
    <w:rsid w:val="69004F74"/>
    <w:rsid w:val="690C11DA"/>
    <w:rsid w:val="697D65C5"/>
    <w:rsid w:val="69A80C2B"/>
    <w:rsid w:val="69AA3132"/>
    <w:rsid w:val="69AE49D0"/>
    <w:rsid w:val="69AF4522"/>
    <w:rsid w:val="69C2198B"/>
    <w:rsid w:val="6A2E5B11"/>
    <w:rsid w:val="6A3E19A0"/>
    <w:rsid w:val="6A3F7D1E"/>
    <w:rsid w:val="6A995680"/>
    <w:rsid w:val="6AD95A7D"/>
    <w:rsid w:val="6ADB1D5B"/>
    <w:rsid w:val="6AE10721"/>
    <w:rsid w:val="6AF6662F"/>
    <w:rsid w:val="6B102712"/>
    <w:rsid w:val="6B2464A4"/>
    <w:rsid w:val="6B250CC2"/>
    <w:rsid w:val="6B713292"/>
    <w:rsid w:val="6B785296"/>
    <w:rsid w:val="6BB66E93"/>
    <w:rsid w:val="6BDA7CFF"/>
    <w:rsid w:val="6BEB618E"/>
    <w:rsid w:val="6C3A546B"/>
    <w:rsid w:val="6C3C4515"/>
    <w:rsid w:val="6C676052"/>
    <w:rsid w:val="6C997F67"/>
    <w:rsid w:val="6CA43E69"/>
    <w:rsid w:val="6CCD1611"/>
    <w:rsid w:val="6CDC3602"/>
    <w:rsid w:val="6D2D17FE"/>
    <w:rsid w:val="6D4B0CC3"/>
    <w:rsid w:val="6DDE15FC"/>
    <w:rsid w:val="6DE65C35"/>
    <w:rsid w:val="6DF27931"/>
    <w:rsid w:val="6DF64B98"/>
    <w:rsid w:val="6E020B7A"/>
    <w:rsid w:val="6E2711F5"/>
    <w:rsid w:val="6E272FA3"/>
    <w:rsid w:val="6E4C0396"/>
    <w:rsid w:val="6EBE354B"/>
    <w:rsid w:val="6EC46CF0"/>
    <w:rsid w:val="6EE1789B"/>
    <w:rsid w:val="6EF70BC7"/>
    <w:rsid w:val="6FBC50CB"/>
    <w:rsid w:val="6FDA5069"/>
    <w:rsid w:val="700965BA"/>
    <w:rsid w:val="70112609"/>
    <w:rsid w:val="70386C15"/>
    <w:rsid w:val="7068068C"/>
    <w:rsid w:val="70812E3F"/>
    <w:rsid w:val="70A36E14"/>
    <w:rsid w:val="70B82B98"/>
    <w:rsid w:val="7114210E"/>
    <w:rsid w:val="71193077"/>
    <w:rsid w:val="71520337"/>
    <w:rsid w:val="718D0096"/>
    <w:rsid w:val="71EC7C3D"/>
    <w:rsid w:val="721B2E1F"/>
    <w:rsid w:val="74250E3F"/>
    <w:rsid w:val="74325AED"/>
    <w:rsid w:val="74583EB6"/>
    <w:rsid w:val="74844CAB"/>
    <w:rsid w:val="749649DF"/>
    <w:rsid w:val="74A76BEC"/>
    <w:rsid w:val="74B11819"/>
    <w:rsid w:val="74D379E1"/>
    <w:rsid w:val="74F24D7D"/>
    <w:rsid w:val="75B710B1"/>
    <w:rsid w:val="760A7304"/>
    <w:rsid w:val="767D7C04"/>
    <w:rsid w:val="76B64EC4"/>
    <w:rsid w:val="76C021E7"/>
    <w:rsid w:val="77266D5B"/>
    <w:rsid w:val="77EF0E30"/>
    <w:rsid w:val="77FA7283"/>
    <w:rsid w:val="78293249"/>
    <w:rsid w:val="78482494"/>
    <w:rsid w:val="787B4617"/>
    <w:rsid w:val="78A376CA"/>
    <w:rsid w:val="78A7489E"/>
    <w:rsid w:val="791244DF"/>
    <w:rsid w:val="794C5FB4"/>
    <w:rsid w:val="79AE4062"/>
    <w:rsid w:val="79BF2DD2"/>
    <w:rsid w:val="79E16DFF"/>
    <w:rsid w:val="7A021182"/>
    <w:rsid w:val="7A155367"/>
    <w:rsid w:val="7A373FED"/>
    <w:rsid w:val="7BC36752"/>
    <w:rsid w:val="7BD7514A"/>
    <w:rsid w:val="7BEB5610"/>
    <w:rsid w:val="7C1763D2"/>
    <w:rsid w:val="7C442F72"/>
    <w:rsid w:val="7C6B04FF"/>
    <w:rsid w:val="7CB023B6"/>
    <w:rsid w:val="7CF130FA"/>
    <w:rsid w:val="7CFD4B29"/>
    <w:rsid w:val="7D2E15C4"/>
    <w:rsid w:val="7DC0487A"/>
    <w:rsid w:val="7DEC53A6"/>
    <w:rsid w:val="7E560F4F"/>
    <w:rsid w:val="7E617E0B"/>
    <w:rsid w:val="7E6F077A"/>
    <w:rsid w:val="7E843AFA"/>
    <w:rsid w:val="7EB659C2"/>
    <w:rsid w:val="7EE051D4"/>
    <w:rsid w:val="7F794339"/>
    <w:rsid w:val="7FE52A9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qFormat/>
    <w:uiPriority w:val="0"/>
    <w:pPr>
      <w:widowControl/>
      <w:spacing w:line="360" w:lineRule="auto"/>
      <w:outlineLvl w:val="2"/>
    </w:pPr>
    <w:rPr>
      <w:b/>
      <w:bCs/>
      <w:sz w:val="24"/>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next w:val="1"/>
    <w:autoRedefine/>
    <w:qFormat/>
    <w:uiPriority w:val="0"/>
    <w:pPr>
      <w:widowControl/>
      <w:ind w:firstLine="420" w:firstLineChars="200"/>
      <w:jc w:val="left"/>
    </w:pPr>
    <w:rPr>
      <w:kern w:val="0"/>
      <w:sz w:val="20"/>
      <w:szCs w:val="20"/>
    </w:rPr>
  </w:style>
  <w:style w:type="paragraph" w:styleId="8">
    <w:name w:val="index 5"/>
    <w:basedOn w:val="1"/>
    <w:next w:val="1"/>
    <w:autoRedefine/>
    <w:qFormat/>
    <w:uiPriority w:val="0"/>
    <w:pPr>
      <w:widowControl w:val="0"/>
      <w:ind w:left="1680"/>
      <w:jc w:val="both"/>
    </w:pPr>
    <w:rPr>
      <w:kern w:val="2"/>
      <w:sz w:val="21"/>
      <w:szCs w:val="24"/>
      <w:lang w:val="en-US" w:eastAsia="zh-CN" w:bidi="ar-SA"/>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autoRedefine/>
    <w:semiHidden/>
    <w:qFormat/>
    <w:uiPriority w:val="0"/>
    <w:pPr>
      <w:jc w:val="left"/>
    </w:pPr>
  </w:style>
  <w:style w:type="paragraph" w:styleId="11">
    <w:name w:val="Body Text"/>
    <w:basedOn w:val="1"/>
    <w:next w:val="12"/>
    <w:qFormat/>
    <w:uiPriority w:val="0"/>
    <w:pPr>
      <w:spacing w:after="120"/>
    </w:pPr>
  </w:style>
  <w:style w:type="paragraph" w:styleId="12">
    <w:name w:val="Body Text 2"/>
    <w:basedOn w:val="1"/>
    <w:unhideWhenUsed/>
    <w:qFormat/>
    <w:uiPriority w:val="99"/>
    <w:rPr>
      <w:b/>
      <w:bCs/>
    </w:rPr>
  </w:style>
  <w:style w:type="paragraph" w:styleId="13">
    <w:name w:val="Body Text Indent"/>
    <w:basedOn w:val="1"/>
    <w:next w:val="14"/>
    <w:autoRedefine/>
    <w:qFormat/>
    <w:uiPriority w:val="0"/>
    <w:pPr>
      <w:spacing w:after="120"/>
      <w:ind w:left="420" w:leftChars="200"/>
    </w:pPr>
    <w:rPr>
      <w:kern w:val="0"/>
      <w:sz w:val="20"/>
    </w:rPr>
  </w:style>
  <w:style w:type="paragraph" w:customStyle="1" w:styleId="14">
    <w:name w:val="font5"/>
    <w:basedOn w:val="1"/>
    <w:qFormat/>
    <w:uiPriority w:val="0"/>
    <w:pPr>
      <w:widowControl/>
      <w:spacing w:before="100" w:beforeAutospacing="1" w:after="100" w:afterAutospacing="1"/>
      <w:jc w:val="left"/>
    </w:pPr>
    <w:rPr>
      <w:rFonts w:ascii="宋体"/>
      <w:kern w:val="0"/>
      <w:sz w:val="18"/>
      <w:szCs w:val="18"/>
    </w:rPr>
  </w:style>
  <w:style w:type="paragraph" w:styleId="15">
    <w:name w:val="toc 3"/>
    <w:basedOn w:val="1"/>
    <w:next w:val="1"/>
    <w:autoRedefine/>
    <w:qFormat/>
    <w:uiPriority w:val="0"/>
    <w:pPr>
      <w:ind w:left="840" w:leftChars="400"/>
    </w:pPr>
  </w:style>
  <w:style w:type="paragraph" w:styleId="16">
    <w:name w:val="Plain Text"/>
    <w:basedOn w:val="1"/>
    <w:next w:val="6"/>
    <w:autoRedefine/>
    <w:qFormat/>
    <w:uiPriority w:val="99"/>
    <w:rPr>
      <w:rFonts w:ascii="宋体" w:hAnsi="Courier New" w:eastAsia="仿宋_GB2312"/>
      <w:sz w:val="32"/>
    </w:rPr>
  </w:style>
  <w:style w:type="paragraph" w:styleId="17">
    <w:name w:val="Body Text Indent 2"/>
    <w:basedOn w:val="1"/>
    <w:next w:val="18"/>
    <w:autoRedefine/>
    <w:qFormat/>
    <w:uiPriority w:val="0"/>
    <w:pPr>
      <w:autoSpaceDE w:val="0"/>
      <w:autoSpaceDN w:val="0"/>
      <w:adjustRightInd w:val="0"/>
      <w:spacing w:line="410" w:lineRule="atLeast"/>
      <w:ind w:left="480"/>
      <w:jc w:val="left"/>
    </w:pPr>
    <w:rPr>
      <w:rFonts w:ascii="宋体" w:hAnsi="Calibri"/>
      <w:color w:val="000000"/>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footer"/>
    <w:basedOn w:val="1"/>
    <w:next w:val="8"/>
    <w:autoRedefine/>
    <w:qFormat/>
    <w:uiPriority w:val="0"/>
    <w:pPr>
      <w:tabs>
        <w:tab w:val="center" w:pos="4153"/>
        <w:tab w:val="right" w:pos="8306"/>
      </w:tabs>
      <w:snapToGrid w:val="0"/>
      <w:jc w:val="left"/>
    </w:pPr>
    <w:rPr>
      <w:sz w:val="18"/>
      <w:szCs w:val="18"/>
    </w:rPr>
  </w:style>
  <w:style w:type="paragraph" w:styleId="20">
    <w:name w:val="toc 1"/>
    <w:basedOn w:val="1"/>
    <w:next w:val="1"/>
    <w:autoRedefine/>
    <w:qFormat/>
    <w:uiPriority w:val="0"/>
  </w:style>
  <w:style w:type="paragraph" w:styleId="21">
    <w:name w:val="index 7"/>
    <w:basedOn w:val="1"/>
    <w:next w:val="1"/>
    <w:autoRedefine/>
    <w:unhideWhenUsed/>
    <w:qFormat/>
    <w:uiPriority w:val="99"/>
    <w:pPr>
      <w:ind w:left="2520"/>
    </w:pPr>
    <w:rPr>
      <w:rFonts w:ascii="Calibri" w:hAnsi="Calibri"/>
      <w:szCs w:val="22"/>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jc w:val="left"/>
    </w:pPr>
    <w:rPr>
      <w:kern w:val="0"/>
      <w:sz w:val="24"/>
    </w:rPr>
  </w:style>
  <w:style w:type="paragraph" w:styleId="24">
    <w:name w:val="Body Text First Indent"/>
    <w:basedOn w:val="11"/>
    <w:autoRedefine/>
    <w:qFormat/>
    <w:uiPriority w:val="0"/>
    <w:pPr>
      <w:ind w:firstLine="420" w:firstLineChars="100"/>
    </w:pPr>
  </w:style>
  <w:style w:type="paragraph" w:styleId="25">
    <w:name w:val="Body Text First Indent 2"/>
    <w:basedOn w:val="13"/>
    <w:next w:val="7"/>
    <w:autoRedefine/>
    <w:qFormat/>
    <w:uiPriority w:val="0"/>
    <w:pPr>
      <w:autoSpaceDE w:val="0"/>
      <w:autoSpaceDN w:val="0"/>
      <w:adjustRightInd w:val="0"/>
      <w:ind w:firstLine="420"/>
      <w:jc w:val="left"/>
    </w:pPr>
    <w:rPr>
      <w:rFonts w:ascii="Calibri" w:hAnsi="Calibri"/>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FollowedHyperlink"/>
    <w:basedOn w:val="28"/>
    <w:autoRedefine/>
    <w:qFormat/>
    <w:uiPriority w:val="0"/>
    <w:rPr>
      <w:color w:val="800080"/>
      <w:u w:val="none"/>
    </w:rPr>
  </w:style>
  <w:style w:type="character" w:styleId="31">
    <w:name w:val="Emphasis"/>
    <w:basedOn w:val="28"/>
    <w:autoRedefine/>
    <w:qFormat/>
    <w:uiPriority w:val="0"/>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0"/>
    <w:rPr>
      <w:color w:val="0000FF"/>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ascii="monospace" w:hAnsi="monospace" w:eastAsia="monospace" w:cs="monospace"/>
      <w:sz w:val="20"/>
    </w:rPr>
  </w:style>
  <w:style w:type="character" w:styleId="40">
    <w:name w:val="HTML Sample"/>
    <w:basedOn w:val="28"/>
    <w:autoRedefine/>
    <w:qFormat/>
    <w:uiPriority w:val="0"/>
    <w:rPr>
      <w:rFonts w:hint="default" w:ascii="monospace" w:hAnsi="monospace" w:eastAsia="monospace" w:cs="monospace"/>
    </w:rPr>
  </w:style>
  <w:style w:type="paragraph" w:customStyle="1" w:styleId="41">
    <w:name w:val="Default"/>
    <w:next w:val="21"/>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42">
    <w:name w:val="1"/>
    <w:basedOn w:val="43"/>
    <w:next w:val="13"/>
    <w:qFormat/>
    <w:uiPriority w:val="0"/>
    <w:pPr>
      <w:spacing w:afterLines="50" w:line="360" w:lineRule="auto"/>
    </w:pPr>
    <w:rPr>
      <w:rFonts w:ascii="宋体" w:hAnsi="宋体"/>
      <w:b/>
      <w:sz w:val="30"/>
      <w:szCs w:val="21"/>
    </w:rPr>
  </w:style>
  <w:style w:type="paragraph" w:customStyle="1" w:styleId="43">
    <w:name w:val="正文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列出段落1"/>
    <w:basedOn w:val="1"/>
    <w:autoRedefine/>
    <w:qFormat/>
    <w:uiPriority w:val="34"/>
    <w:pPr>
      <w:ind w:firstLine="420" w:firstLineChars="200"/>
    </w:pPr>
  </w:style>
  <w:style w:type="paragraph" w:customStyle="1" w:styleId="45">
    <w:name w:val="无间隔1"/>
    <w:autoRedefine/>
    <w:qFormat/>
    <w:uiPriority w:val="1"/>
    <w:rPr>
      <w:rFonts w:ascii="Calibri" w:hAnsi="Calibri" w:eastAsia="宋体" w:cs="宋体"/>
      <w:kern w:val="2"/>
      <w:sz w:val="21"/>
      <w:szCs w:val="22"/>
      <w:lang w:val="en-US" w:eastAsia="zh-CN" w:bidi="ar-SA"/>
    </w:rPr>
  </w:style>
  <w:style w:type="paragraph" w:customStyle="1" w:styleId="46">
    <w:name w:val="正文1"/>
    <w:basedOn w:val="1"/>
    <w:autoRedefine/>
    <w:qFormat/>
    <w:uiPriority w:val="0"/>
    <w:pPr>
      <w:widowControl/>
      <w:spacing w:before="120" w:after="120"/>
      <w:jc w:val="left"/>
    </w:pPr>
    <w:rPr>
      <w:rFonts w:ascii="Arial" w:hAnsi="Arial" w:cs="Arial"/>
      <w:kern w:val="0"/>
      <w:sz w:val="24"/>
    </w:rPr>
  </w:style>
  <w:style w:type="paragraph" w:styleId="47">
    <w:name w:val="List Paragraph"/>
    <w:basedOn w:val="1"/>
    <w:autoRedefine/>
    <w:qFormat/>
    <w:uiPriority w:val="34"/>
    <w:pPr>
      <w:ind w:firstLine="420" w:firstLineChars="200"/>
    </w:pPr>
  </w:style>
  <w:style w:type="paragraph" w:customStyle="1" w:styleId="48">
    <w:name w:val="Heading #1|1"/>
    <w:basedOn w:val="1"/>
    <w:autoRedefine/>
    <w:qFormat/>
    <w:uiPriority w:val="0"/>
    <w:pPr>
      <w:widowControl w:val="0"/>
      <w:shd w:val="clear" w:color="auto" w:fill="auto"/>
      <w:spacing w:after="530"/>
      <w:jc w:val="center"/>
      <w:outlineLvl w:val="0"/>
    </w:pPr>
    <w:rPr>
      <w:rFonts w:ascii="宋体" w:hAnsi="宋体" w:eastAsia="宋体" w:cs="宋体"/>
      <w:sz w:val="36"/>
      <w:szCs w:val="36"/>
      <w:u w:val="none"/>
      <w:shd w:val="clear" w:color="auto" w:fill="auto"/>
      <w:lang w:val="zh-TW" w:eastAsia="zh-TW" w:bidi="zh-TW"/>
    </w:rPr>
  </w:style>
  <w:style w:type="paragraph" w:customStyle="1" w:styleId="49">
    <w:name w:val="Body text|1"/>
    <w:autoRedefine/>
    <w:qFormat/>
    <w:uiPriority w:val="0"/>
    <w:pPr>
      <w:widowControl w:val="0"/>
      <w:spacing w:after="140" w:line="427" w:lineRule="auto"/>
      <w:ind w:firstLine="400"/>
      <w:jc w:val="both"/>
    </w:pPr>
    <w:rPr>
      <w:rFonts w:ascii="宋体" w:hAnsi="宋体" w:eastAsia="宋体" w:cs="宋体"/>
      <w:kern w:val="2"/>
      <w:sz w:val="19"/>
      <w:szCs w:val="19"/>
      <w:lang w:val="zh-TW" w:eastAsia="zh-TW" w:bidi="zh-TW"/>
    </w:rPr>
  </w:style>
  <w:style w:type="paragraph" w:customStyle="1" w:styleId="50">
    <w:name w:val="Body text|2"/>
    <w:basedOn w:val="1"/>
    <w:autoRedefine/>
    <w:qFormat/>
    <w:uiPriority w:val="0"/>
    <w:pPr>
      <w:spacing w:after="180" w:line="456" w:lineRule="exact"/>
      <w:ind w:firstLine="560"/>
    </w:pPr>
    <w:rPr>
      <w:rFonts w:ascii="宋体" w:hAnsi="宋体" w:cs="宋体"/>
      <w:sz w:val="20"/>
      <w:szCs w:val="20"/>
      <w:lang w:val="zh-TW" w:eastAsia="zh-TW" w:bidi="zh-TW"/>
    </w:rPr>
  </w:style>
  <w:style w:type="character" w:customStyle="1" w:styleId="51">
    <w:name w:val="NormalCharacter"/>
    <w:autoRedefine/>
    <w:qFormat/>
    <w:uiPriority w:val="0"/>
  </w:style>
  <w:style w:type="character" w:customStyle="1" w:styleId="52">
    <w:name w:val="l-btn-icon-right"/>
    <w:basedOn w:val="28"/>
    <w:autoRedefine/>
    <w:qFormat/>
    <w:uiPriority w:val="0"/>
  </w:style>
  <w:style w:type="character" w:customStyle="1" w:styleId="53">
    <w:name w:val="l-btn-left"/>
    <w:basedOn w:val="28"/>
    <w:autoRedefine/>
    <w:qFormat/>
    <w:uiPriority w:val="0"/>
  </w:style>
  <w:style w:type="character" w:customStyle="1" w:styleId="54">
    <w:name w:val="l-btn-left1"/>
    <w:basedOn w:val="28"/>
    <w:autoRedefine/>
    <w:qFormat/>
    <w:uiPriority w:val="0"/>
  </w:style>
  <w:style w:type="character" w:customStyle="1" w:styleId="55">
    <w:name w:val="l-btn-left2"/>
    <w:basedOn w:val="28"/>
    <w:autoRedefine/>
    <w:qFormat/>
    <w:uiPriority w:val="0"/>
  </w:style>
  <w:style w:type="character" w:customStyle="1" w:styleId="56">
    <w:name w:val="l-btn-left3"/>
    <w:basedOn w:val="28"/>
    <w:autoRedefine/>
    <w:qFormat/>
    <w:uiPriority w:val="0"/>
  </w:style>
  <w:style w:type="character" w:customStyle="1" w:styleId="57">
    <w:name w:val="l-btn-text"/>
    <w:basedOn w:val="28"/>
    <w:autoRedefine/>
    <w:qFormat/>
    <w:uiPriority w:val="0"/>
    <w:rPr>
      <w:sz w:val="14"/>
      <w:szCs w:val="14"/>
      <w:vertAlign w:val="baseline"/>
    </w:rPr>
  </w:style>
  <w:style w:type="character" w:customStyle="1" w:styleId="58">
    <w:name w:val="l-btn-icon-left"/>
    <w:basedOn w:val="28"/>
    <w:autoRedefine/>
    <w:qFormat/>
    <w:uiPriority w:val="0"/>
  </w:style>
  <w:style w:type="character" w:customStyle="1" w:styleId="59">
    <w:name w:val="l-btn-empty"/>
    <w:basedOn w:val="28"/>
    <w:autoRedefine/>
    <w:qFormat/>
    <w:uiPriority w:val="0"/>
  </w:style>
  <w:style w:type="paragraph" w:customStyle="1" w:styleId="60">
    <w:name w:val="Table Text"/>
    <w:basedOn w:val="1"/>
    <w:qFormat/>
    <w:uiPriority w:val="0"/>
    <w:rPr>
      <w:rFonts w:ascii="宋体" w:hAnsi="宋体" w:eastAsia="宋体" w:cs="宋体"/>
      <w:sz w:val="24"/>
      <w:szCs w:val="24"/>
      <w:lang w:val="en-US" w:eastAsia="en-US" w:bidi="ar-SA"/>
    </w:rPr>
  </w:style>
  <w:style w:type="table" w:customStyle="1" w:styleId="61">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62">
    <w:name w:val="font11"/>
    <w:basedOn w:val="28"/>
    <w:qFormat/>
    <w:uiPriority w:val="0"/>
    <w:rPr>
      <w:rFonts w:hint="default" w:ascii="Arial" w:hAnsi="Arial" w:cs="Arial"/>
      <w:color w:val="000000"/>
      <w:sz w:val="22"/>
      <w:szCs w:val="22"/>
      <w:u w:val="none"/>
    </w:rPr>
  </w:style>
  <w:style w:type="character" w:customStyle="1" w:styleId="63">
    <w:name w:val="font21"/>
    <w:basedOn w:val="28"/>
    <w:qFormat/>
    <w:uiPriority w:val="0"/>
    <w:rPr>
      <w:rFonts w:hint="eastAsia" w:ascii="宋体" w:hAnsi="宋体" w:eastAsia="宋体" w:cs="宋体"/>
      <w:color w:val="000000"/>
      <w:sz w:val="22"/>
      <w:szCs w:val="22"/>
      <w:u w:val="none"/>
    </w:rPr>
  </w:style>
  <w:style w:type="character" w:customStyle="1" w:styleId="64">
    <w:name w:val="font31"/>
    <w:basedOn w:val="28"/>
    <w:qFormat/>
    <w:uiPriority w:val="0"/>
    <w:rPr>
      <w:rFonts w:hint="default" w:ascii="Arial" w:hAnsi="Arial" w:cs="Arial"/>
      <w:color w:val="000000"/>
      <w:sz w:val="22"/>
      <w:szCs w:val="22"/>
      <w:u w:val="none"/>
    </w:rPr>
  </w:style>
  <w:style w:type="paragraph" w:customStyle="1" w:styleId="65">
    <w:name w:val="正文 A"/>
    <w:next w:val="11"/>
    <w:qFormat/>
    <w:uiPriority w:val="0"/>
    <w:rPr>
      <w:rFonts w:ascii="Times New Roman" w:hAnsi="Times New Roman" w:eastAsia="Arial Unicode MS" w:cs="Arial Unicode MS"/>
      <w:color w:val="000000"/>
      <w:sz w:val="21"/>
      <w:szCs w:val="2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15576</Words>
  <Characters>16432</Characters>
  <Lines>0</Lines>
  <Paragraphs>0</Paragraphs>
  <TotalTime>66</TotalTime>
  <ScaleCrop>false</ScaleCrop>
  <LinksUpToDate>false</LinksUpToDate>
  <CharactersWithSpaces>17139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2023-05-10T05:57:00Z</dcterms:created>
  <dc:creator>批注者</dc:creator>
  <cp:lastModifiedBy>Administrator</cp:lastModifiedBy>
  <cp:lastPrinted>2023-05-11T02:31:00Z</cp:lastPrinted>
  <dcterms:modified xsi:type="dcterms:W3CDTF">2025-06-13T04:09:15Z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0E84F861A3E64B70A3A0C8FCC76592FF_13</vt:lpwstr>
  </property>
  <property fmtid="{D5CDD505-2E9C-101B-9397-08002B2CF9AE}" pid="4" name="KSOTemplateDocerSaveRecord">
    <vt:lpwstr>eyJoZGlkIjoiNThjZTBkNTJhZmMzOWQzMmYzNDUzNjY1YmI3YmRmNTMifQ==</vt:lpwstr>
  </property>
</Properties>
</file>